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Department of Water and Sanitation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INUMB_00020265De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2023-12-04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Caritas Schweiz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8 Braambos Lane,7347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(+213) -  -900-0425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23 Martin Close,CPT, 6478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065 -  -965-5610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Basic Buffet Catering 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66.41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8308.82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8376573.74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827136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FNB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5649732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