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Libstar Operations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##0080919Fd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2022/04/29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Radisson hotel  convention centre Johannesburg OR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 Westcliff Drive,Gauteng,2001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-731-3524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011 -  -736-7574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Website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530.92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7655.54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3177737.57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268734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Discovery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258798000370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