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SITA SOC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+27 -  -850-6057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Pakalolo Table View, 14 Beach Boulevard,7433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Linyana  Somacala Inc.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064 -  -794-7558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406 Pilane Street,Hout Bay,7872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INVO: 021229Yw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06-Apr-2020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'PO No-70450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INVO: 021229Yw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Formal Sit-Down Dinner </w:t>
      </w:r>
      <w:r>
        <w:tab/>
        <w:t xml:space="preserve">170</w:t>
      </w:r>
      <w:r>
        <w:tab/>
        <w:t xml:space="preserve">R72.1</w:t>
      </w:r>
      <w:r>
        <w:tab/>
      </w:r>
      <w:r w:rsidR="003F21C6" w:rsidRPr="003F21C6">
        <w:t xml:space="preserve">R7397.94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3025368.29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R372910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ABSA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43571327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Pakalolo Table View, 14 Beach Boulevard,7433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