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Mobile Telephone Networks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#00030386Ae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Ariston Thermo South Africa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198247000370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Social Media Graphics</w:t>
      </w:r>
      <w:r>
        <w:rPr>
          <w:color w:val="101010"/>
        </w:rPr>
        <w:tab/>
      </w:r>
      <w:r>
        <w:rPr>
          <w:rStyle w:val="ui-provider"/>
        </w:rPr>
        <w:t xml:space="preserve">583.75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7011.36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5154291.0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R481133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