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+27 -  -983-8301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FNB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6405212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FNB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6405212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Liberty Group Limited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14 Bonanza Street,Gauteng,6442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26 May-2023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##-0000036315Tn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Liberty Group Limited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14 Bonanza Street,Gauteng,6442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26 May-2023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##-0000036315Tn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Financial Consulting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Financial Consulting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Financial Consulting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4857.54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4857.54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4857.54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6965653.0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496291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