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#000058736Pe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31/10/23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071 -  -974-0512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Zamlinx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Close,2054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095 -  -781-7520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116174000370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Business Cards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245.2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3250468.0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3250468.0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2080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8703.71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