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10-01-2023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Agility Holdings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32 Denne Crescent,Western Cape,7347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+27 -  -888-1263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Esayidi FET College Centre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23 Martin Close,2054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#000093450Wy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PO_NUMB-000003795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Consultation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286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601.31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2725.21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2725.21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12895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