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2022/09/01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Corruseal Corrugated Gauteng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14 Bonanza Street,2092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065 -  -884-9014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Commission de Surveillance du Secteur Financier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14 Bonanza Street,Gauteng,6442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B-043299Kk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'PO No-0060619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Photography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171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703.36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3638.49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3638.49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215342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