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Department of Public Works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 Westcliff Drive,Gauteng,2001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064 -  -863-3463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Sasol Chemie Gmbh  Co. Kg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23 Martin Close,2054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080 -  -906-7220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Sasol Chemie Gmbh  Co. Kg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23 Martin Close,2054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080 -  -906-7220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07/09/2021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##-022687Di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PO_NUMB-19136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07/09/2021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##-022687Di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PO_NUMB-19136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Logo Design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401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6435361.0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4488.68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209319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209319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FNB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7844439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