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JSE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32 Denne Crescent,Western Cape,7347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063 -  -716-0207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North West University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365 Ontdekkers Road, Roodepoort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(+214) -  -733-5073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North West University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365 Ontdekkers Road, Roodepoort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(+214) -  -733-5073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22 March 2021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INV51362Fz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## 12382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22 March 2021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INV51362Fz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## 12382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Event Photography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69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8783245.65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7517.36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573290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573290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FNB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1865225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