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Tsebo Facilities Solutions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095 -  -724-1581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Air Liquide Large Industries South Africa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010 -  -981-6795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Air Liquide Large Industries South Africa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010 -  -981-6795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28/Apr/2023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#07385Uk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 000012788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28/Apr/2023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#07385Uk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 000012788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Website Design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167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6019134.0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3743.77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517116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517116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66323204207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