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Pazozone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Athlone, Cape Town,7764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INVOICE:065078Km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Jul 03, 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Old Mutual Life Assurance Company (SA)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Sheetmetal Crafts, 28 Ffennell Road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Printing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452.14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4695.29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A5 Flyers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132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153.63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4695.29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R2334106.0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4695.29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