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Business Connexion Namibia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060 -  -930-0177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'VAT Reg ID_36219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'PO No_055796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Exxaro Resources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Exxaro Resources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INUMB_0000014241Gb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2022-08-11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2022-08-11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Logo Design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433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182.51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6630.71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2022-08-11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Logo Design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433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182.51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6630.71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2022-08-11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Logo Design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433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182.51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6630.71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2022-08-11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Logo Design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433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182.51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6630.71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2022-08-11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Logo Design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433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182.51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6630.71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2022-08-11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Logo Design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433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182.51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6630.71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661765.0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346113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346113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