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Lesotho Electricity Company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28-Mar-2023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##-0020355Ae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37807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Cape Peninsula University of Tech.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37807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No-011071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Basic Buffet Catering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390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939.35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6507.52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Lesotho Electricity Company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11257616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2759057.69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40367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