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Mobile Telephone Networks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2023-05-07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#00030386Ae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VIC-0000069944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Ariston Thermo South Africa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VIC-0000069944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@-60233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Social Media Graphics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806.39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7011.36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Mobile Telephone Networks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198247000370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5154291.0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481133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