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Novartis Pharma AG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10 Jan-2020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##0018401Zx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#VRN_ 000099491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Mama Lisa Workshop Restaurant (Pty) Ltd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#VRN_ 000099491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#@_95077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Asian Fusion Catering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467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678.12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2352.05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Novartis Pharma AG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Standard Bank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49403659102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4792779.77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272585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