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Armed Security Guard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411.01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678521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28 Dec 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UMICORE CATALYST SA ( 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INVOICE:0000043510Mt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Stone on Time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UMICORE CATALYST SA ( 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UMICORE CATALYST SA ( 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UMICORE CATALYST SA ( 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NUM-42771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@VAT_#_00049057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525.25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140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412078.0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678521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94518408194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