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>{{ Senders_Company  }}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>{{ ContactDetails }}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4DE6A243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BF6B6A">
                  <w:rPr>
                    <w:rStyle w:val="ui-provider"/>
                  </w:rPr>
                  <w:t xml:space="preserve">{{ </w:t>
                </w:r>
                <w:r w:rsidR="00BF6B6A">
                  <w:rPr>
                    <w:rStyle w:val="ui-provider"/>
                    <w:caps w:val="0"/>
                  </w:rPr>
                  <w:t xml:space="preserve">InvoiceNO </w:t>
                </w:r>
                <w:r w:rsidR="00BF6B6A">
                  <w:rPr>
                    <w:rStyle w:val="ui-provider"/>
                  </w:rPr>
                  <w:t>}}</w:t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{{ </w:t>
                </w:r>
                <w:r w:rsidR="009F4BB6">
                  <w:rPr>
                    <w:caps w:val="0"/>
                  </w:rPr>
                  <w:t xml:space="preserve">Date </w:t>
                </w:r>
                <w:r w:rsidR="009F4BB6">
                  <w:t>}}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>{{ Receivers_Company }}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>{{ LineItems }}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{{ Services  }}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>{{ Hours }}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>{{ Service_Price  }}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>{{ Total }}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>{{ T</w:t>
                </w:r>
                <w:r w:rsidR="00374B70">
                  <w:rPr>
                    <w:caps w:val="0"/>
                  </w:rPr>
                  <w:t>otals</w:t>
                </w:r>
                <w:r w:rsidR="00374B70">
                  <w:t xml:space="preserve"> }}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27996" w14:textId="77777777" w:rsidR="004748FB" w:rsidRDefault="004748FB" w:rsidP="00450C0A">
      <w:pPr>
        <w:spacing w:line="240" w:lineRule="auto"/>
      </w:pPr>
      <w:r>
        <w:separator/>
      </w:r>
    </w:p>
  </w:endnote>
  <w:endnote w:type="continuationSeparator" w:id="0">
    <w:p w14:paraId="24AB6441" w14:textId="77777777" w:rsidR="004748FB" w:rsidRDefault="004748FB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F22E0" w14:textId="77777777" w:rsidR="004748FB" w:rsidRDefault="004748FB" w:rsidP="00450C0A">
      <w:pPr>
        <w:spacing w:line="240" w:lineRule="auto"/>
      </w:pPr>
      <w:r>
        <w:separator/>
      </w:r>
    </w:p>
  </w:footnote>
  <w:footnote w:type="continuationSeparator" w:id="0">
    <w:p w14:paraId="56068069" w14:textId="77777777" w:rsidR="004748FB" w:rsidRDefault="004748FB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1649D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748FB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B7A19"/>
    <w:rsid w:val="00BD7A44"/>
    <w:rsid w:val="00BF6B6A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  <w15:docId w15:val="{025E3332-286D-4B1E-800C-4BF15B5A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31649D"/>
    <w:rsid w:val="00497D97"/>
    <w:rsid w:val="007F5752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Rahdee Salie</cp:lastModifiedBy>
  <cp:revision>2</cp:revision>
  <dcterms:created xsi:type="dcterms:W3CDTF">2024-05-07T09:38:00Z</dcterms:created>
  <dcterms:modified xsi:type="dcterms:W3CDTF">2024-05-14T11:11:00Z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