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Comparative Constructions</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XX.1 The Comparative Degree</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expression of comparison is realized both morphologically and syntactically. Morphologically, grammatical degree is a feature primarily confined to adjectives and adverbs; nouns do not generally inflect for comparative or superlative forms. The few exceptions to this rule, which involve lexicalized adjectives that function as nouns (e.g., </w:t>
      </w:r>
      <w:r w:rsidDel="00000000" w:rsidR="00000000" w:rsidRPr="00000000">
        <w:rPr>
          <w:rFonts w:ascii="Times New Roman" w:cs="Times New Roman" w:eastAsia="Times New Roman" w:hAnsi="Times New Roman"/>
          <w:i w:val="1"/>
          <w:iCs w:val="1"/>
          <w:rtl w:val="0"/>
        </w:rPr>
        <w:t xml:space="preserve">wad</w:t>
      </w:r>
      <w:r w:rsidDel="00000000" w:rsidR="00000000" w:rsidRPr="00000000">
        <w:rPr>
          <w:rFonts w:ascii="Times New Roman" w:cs="Times New Roman" w:eastAsia="Times New Roman" w:hAnsi="Times New Roman"/>
          <w:rtl w:val="0"/>
        </w:rPr>
        <w:t xml:space="preserve"> ‘an evil person’), are discussed at the end of this section.</w:t>
      </w:r>
    </w:p>
    <w:p w:rsidR="00000000" w:rsidDel="00000000" w:rsidP="00000000" w:rsidRDefault="00000000" w:rsidRPr="00000000" w14:paraId="00000004">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Syntactically, comparison is expressed through two main strategies, marked by the particles </w:t>
      </w:r>
      <w:r w:rsidDel="00000000" w:rsidR="00000000" w:rsidRPr="00000000">
        <w:rPr>
          <w:rFonts w:ascii="Times New Roman" w:cs="Times New Roman" w:eastAsia="Times New Roman" w:hAnsi="Times New Roman"/>
          <w:i w:val="1"/>
          <w:iCs w:val="1"/>
          <w:rtl w:val="0"/>
        </w:rPr>
        <w:t xml:space="preserve">az</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kū</w:t>
      </w:r>
      <w:r w:rsidDel="00000000" w:rsidR="00000000" w:rsidRPr="00000000">
        <w:rPr>
          <w:rFonts w:ascii="Times New Roman" w:cs="Times New Roman" w:eastAsia="Times New Roman" w:hAnsi="Times New Roman"/>
          <w:rtl w:val="0"/>
        </w:rPr>
        <w:t xml:space="preserve">. They follow different syntactic structures, which determine their different word orders and grammatical roles: a phrasal comparison marked by </w:t>
      </w:r>
      <w:r w:rsidDel="00000000" w:rsidR="00000000" w:rsidRPr="00000000">
        <w:rPr>
          <w:rFonts w:ascii="Times New Roman" w:cs="Times New Roman" w:eastAsia="Times New Roman" w:hAnsi="Times New Roman"/>
          <w:i w:val="1"/>
          <w:iCs w:val="1"/>
          <w:rtl w:val="0"/>
        </w:rPr>
        <w:t xml:space="preserve">az</w:t>
      </w:r>
      <w:r w:rsidDel="00000000" w:rsidR="00000000" w:rsidRPr="00000000">
        <w:rPr>
          <w:rFonts w:ascii="Times New Roman" w:cs="Times New Roman" w:eastAsia="Times New Roman" w:hAnsi="Times New Roman"/>
          <w:rtl w:val="0"/>
        </w:rPr>
        <w:t xml:space="preserve"> and a clausal comparison marked by </w:t>
      </w:r>
      <w:r w:rsidDel="00000000" w:rsidR="00000000" w:rsidRPr="00000000">
        <w:rPr>
          <w:rFonts w:ascii="Times New Roman" w:cs="Times New Roman" w:eastAsia="Times New Roman" w:hAnsi="Times New Roman"/>
          <w:i w:val="1"/>
          <w:iCs w:val="1"/>
          <w:rtl w:val="0"/>
        </w:rPr>
        <w:t xml:space="preserve">kū</w:t>
      </w:r>
      <w:r w:rsidDel="00000000" w:rsidR="00000000" w:rsidRPr="00000000">
        <w:rPr>
          <w:rFonts w:ascii="Times New Roman" w:cs="Times New Roman" w:eastAsia="Times New Roman" w:hAnsi="Times New Roman"/>
          <w:rtl w:val="0"/>
        </w:rPr>
        <w:t xml:space="preserve">. In describing these constructions, the entity whose quality is being evaluated is the “subject of comparison” (</w:t>
      </w:r>
      <w:r w:rsidDel="00000000" w:rsidR="00000000" w:rsidRPr="00000000">
        <w:rPr>
          <w:rFonts w:ascii="Times New Roman" w:cs="Times New Roman" w:eastAsia="Times New Roman" w:hAnsi="Times New Roman"/>
          <w:i w:val="1"/>
          <w:iCs w:val="1"/>
          <w:rtl w:val="0"/>
        </w:rPr>
        <w:t xml:space="preserve">xwaršēd</w:t>
      </w:r>
      <w:r w:rsidDel="00000000" w:rsidR="00000000" w:rsidRPr="00000000">
        <w:rPr>
          <w:rFonts w:ascii="Times New Roman" w:cs="Times New Roman" w:eastAsia="Times New Roman" w:hAnsi="Times New Roman"/>
          <w:rtl w:val="0"/>
        </w:rPr>
        <w:t xml:space="preserve"> “sun” in example 1) and the entity or proposition it is being compared against is the “standard of comparison” (</w:t>
      </w:r>
      <w:r w:rsidDel="00000000" w:rsidR="00000000" w:rsidRPr="00000000">
        <w:rPr>
          <w:rFonts w:ascii="Times New Roman" w:cs="Times New Roman" w:eastAsia="Times New Roman" w:hAnsi="Times New Roman"/>
          <w:i w:val="1"/>
          <w:iCs w:val="1"/>
          <w:rtl w:val="0"/>
        </w:rPr>
        <w:t xml:space="preserve">māh</w:t>
      </w:r>
      <w:r w:rsidDel="00000000" w:rsidR="00000000" w:rsidRPr="00000000">
        <w:rPr>
          <w:rFonts w:ascii="Times New Roman" w:cs="Times New Roman" w:eastAsia="Times New Roman" w:hAnsi="Times New Roman"/>
          <w:rtl w:val="0"/>
        </w:rPr>
        <w:t xml:space="preserve"> “moon”).</w:t>
      </w:r>
    </w:p>
    <w:p w:rsidR="00000000" w:rsidDel="00000000" w:rsidP="00000000" w:rsidRDefault="00000000" w:rsidRPr="00000000" w14:paraId="00000005">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an analysis of 68 comparative constructions identified in the corpus, two primary word orders for direct comparison emerge, alongside a distinct partitive function.</w:t>
      </w:r>
    </w:p>
    <w:p w:rsidR="00000000" w:rsidDel="00000000" w:rsidP="00000000" w:rsidRDefault="00000000" w:rsidRPr="00000000" w14:paraId="00000006">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common pattern, occurring in 60.29% of cases (41/68), involves the </w:t>
      </w:r>
      <w:r w:rsidDel="00000000" w:rsidR="00000000" w:rsidRPr="00000000">
        <w:rPr>
          <w:rFonts w:ascii="Times New Roman" w:cs="Times New Roman" w:eastAsia="Times New Roman" w:hAnsi="Times New Roman"/>
          <w:i w:val="1"/>
          <w:iCs w:val="1"/>
          <w:rtl w:val="0"/>
        </w:rPr>
        <w:t xml:space="preserve">az</w:t>
      </w:r>
      <w:r w:rsidDel="00000000" w:rsidR="00000000" w:rsidRPr="00000000">
        <w:rPr>
          <w:rFonts w:ascii="Times New Roman" w:cs="Times New Roman" w:eastAsia="Times New Roman" w:hAnsi="Times New Roman"/>
          <w:rtl w:val="0"/>
        </w:rPr>
        <w:t xml:space="preserve">-phrase that includes the comparison standard between the subject and the comparative adjective. The pattern is:</w:t>
      </w:r>
    </w:p>
    <w:p w:rsidR="00000000" w:rsidDel="00000000" w:rsidP="00000000" w:rsidRDefault="00000000" w:rsidRPr="00000000" w14:paraId="00000007">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[Subject of Comparison] + az + [Standard of Comparison] + [Comparative Adjective]</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GBD-TD1, 28.7</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05"/>
        <w:gridCol w:w="2220"/>
        <w:gridCol w:w="2265"/>
        <w:tblGridChange w:id="0">
          <w:tblGrid>
            <w:gridCol w:w="2250"/>
            <w:gridCol w:w="2205"/>
            <w:gridCol w:w="2220"/>
            <w:gridCol w:w="226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xwaršēd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B">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māh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rōšntar</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0">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brighter</w:t>
            </w:r>
          </w:p>
        </w:tc>
      </w:tr>
    </w:tbl>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sun is brighter than the moon.</w:t>
      </w:r>
    </w:p>
    <w:p w:rsidR="00000000" w:rsidDel="00000000" w:rsidP="00000000" w:rsidRDefault="00000000" w:rsidRPr="00000000" w14:paraId="00000012">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alternative word order, occurring in 16.18% of cases (11/68), places the comparative adjective (in example 2, </w:t>
      </w:r>
      <w:r w:rsidDel="00000000" w:rsidR="00000000" w:rsidRPr="00000000">
        <w:rPr>
          <w:rFonts w:ascii="Times New Roman" w:cs="Times New Roman" w:eastAsia="Times New Roman" w:hAnsi="Times New Roman"/>
          <w:i w:val="1"/>
          <w:iCs w:val="1"/>
          <w:rtl w:val="0"/>
        </w:rPr>
        <w:t xml:space="preserve">ōzōmandtar</w:t>
      </w:r>
      <w:r w:rsidDel="00000000" w:rsidR="00000000" w:rsidRPr="00000000">
        <w:rPr>
          <w:rFonts w:ascii="Times New Roman" w:cs="Times New Roman" w:eastAsia="Times New Roman" w:hAnsi="Times New Roman"/>
          <w:rtl w:val="0"/>
        </w:rPr>
        <w:t xml:space="preserve"> ‘more powerful’) before the </w:t>
      </w:r>
      <w:r w:rsidDel="00000000" w:rsidR="00000000" w:rsidRPr="00000000">
        <w:rPr>
          <w:rFonts w:ascii="Times New Roman" w:cs="Times New Roman" w:eastAsia="Times New Roman" w:hAnsi="Times New Roman"/>
          <w:i w:val="1"/>
          <w:iCs w:val="1"/>
          <w:rtl w:val="0"/>
        </w:rPr>
        <w:t xml:space="preserve">az</w:t>
      </w:r>
      <w:r w:rsidDel="00000000" w:rsidR="00000000" w:rsidRPr="00000000">
        <w:rPr>
          <w:rFonts w:ascii="Times New Roman" w:cs="Times New Roman" w:eastAsia="Times New Roman" w:hAnsi="Times New Roman"/>
          <w:rtl w:val="0"/>
        </w:rPr>
        <w:t xml:space="preserve">-phrase (</w:t>
      </w:r>
      <w:r w:rsidDel="00000000" w:rsidR="00000000" w:rsidRPr="00000000">
        <w:rPr>
          <w:rFonts w:ascii="Times New Roman" w:cs="Times New Roman" w:eastAsia="Times New Roman" w:hAnsi="Times New Roman"/>
          <w:i w:val="1"/>
          <w:iCs w:val="1"/>
          <w:rtl w:val="0"/>
        </w:rPr>
        <w:t xml:space="preserve">az har dōān dāmān</w:t>
      </w:r>
      <w:r w:rsidDel="00000000" w:rsidR="00000000" w:rsidRPr="00000000">
        <w:rPr>
          <w:rFonts w:ascii="Times New Roman" w:cs="Times New Roman" w:eastAsia="Times New Roman" w:hAnsi="Times New Roman"/>
          <w:rtl w:val="0"/>
        </w:rPr>
        <w:t xml:space="preserve"> ‘from both creatures’). The pattern is:</w:t>
      </w:r>
    </w:p>
    <w:p w:rsidR="00000000" w:rsidDel="00000000" w:rsidP="00000000" w:rsidRDefault="00000000" w:rsidRPr="00000000" w14:paraId="00000013">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[Subject of Comparison] + [Comparative Adjective] + az + [Standard of Comparison]</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GBd-TD1-01, 1.43</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205"/>
        <w:gridCol w:w="870"/>
        <w:gridCol w:w="1695"/>
        <w:gridCol w:w="1200"/>
        <w:gridCol w:w="1515"/>
        <w:tblGridChange w:id="0">
          <w:tblGrid>
            <w:gridCol w:w="1425"/>
            <w:gridCol w:w="2205"/>
            <w:gridCol w:w="870"/>
            <w:gridCol w:w="1695"/>
            <w:gridCol w:w="1200"/>
            <w:gridCol w:w="151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zamān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ōzōmandtar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dōān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dāmān</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more powerful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creatures</w:t>
            </w:r>
          </w:p>
        </w:tc>
      </w:tr>
    </w:tbl>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is more powerful than both creatures …</w:t>
      </w:r>
    </w:p>
    <w:p w:rsidR="00000000" w:rsidDel="00000000" w:rsidP="00000000" w:rsidRDefault="00000000" w:rsidRPr="00000000" w14:paraId="00000022">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Functionally, the </w:t>
      </w:r>
      <w:r w:rsidDel="00000000" w:rsidR="00000000" w:rsidRPr="00000000">
        <w:rPr>
          <w:rFonts w:ascii="Times New Roman" w:cs="Times New Roman" w:eastAsia="Times New Roman" w:hAnsi="Times New Roman"/>
          <w:i w:val="1"/>
          <w:iCs w:val="1"/>
          <w:rtl w:val="0"/>
        </w:rPr>
        <w:t xml:space="preserve">az</w:t>
      </w:r>
      <w:r w:rsidDel="00000000" w:rsidR="00000000" w:rsidRPr="00000000">
        <w:rPr>
          <w:rFonts w:ascii="Times New Roman" w:cs="Times New Roman" w:eastAsia="Times New Roman" w:hAnsi="Times New Roman"/>
          <w:rtl w:val="0"/>
        </w:rPr>
        <w:t xml:space="preserve"> construction is also used to express a partitive comparison, which conveys a superlative-like meaning. This function accounts for the remaining 23.53% of the analyzed instances (16/68). This structure typically follows the pattern:</w:t>
      </w:r>
    </w:p>
    <w:p w:rsidR="00000000" w:rsidDel="00000000" w:rsidP="00000000" w:rsidRDefault="00000000" w:rsidRPr="00000000" w14:paraId="00000023">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az + [Standard of Comparison (Group)] + [Subject of Comparison (Member)] + [Comparative Adjective]</w:t>
      </w:r>
    </w:p>
    <w:p w:rsidR="00000000" w:rsidDel="00000000" w:rsidP="00000000" w:rsidRDefault="00000000" w:rsidRPr="00000000" w14:paraId="00000024">
      <w:pPr>
        <w:spacing w:after="240" w:before="240" w:lineRule="auto"/>
        <w:ind w:firstLine="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3, </w:t>
      </w:r>
      <w:r w:rsidDel="00000000" w:rsidR="00000000" w:rsidRPr="00000000">
        <w:rPr>
          <w:rFonts w:ascii="Times New Roman" w:cs="Times New Roman" w:eastAsia="Times New Roman" w:hAnsi="Times New Roman"/>
          <w:i w:val="1"/>
          <w:iCs w:val="1"/>
          <w:rtl w:val="0"/>
        </w:rPr>
        <w:t xml:space="preserve">driyōšān</w:t>
      </w:r>
      <w:r w:rsidDel="00000000" w:rsidR="00000000" w:rsidRPr="00000000">
        <w:rPr>
          <w:rFonts w:ascii="Times New Roman" w:cs="Times New Roman" w:eastAsia="Times New Roman" w:hAnsi="Times New Roman"/>
          <w:rtl w:val="0"/>
        </w:rPr>
        <w:t xml:space="preserve"> ‘the poor’ is the standard of comparison, and </w:t>
      </w:r>
      <w:r w:rsidDel="00000000" w:rsidR="00000000" w:rsidRPr="00000000">
        <w:rPr>
          <w:rFonts w:ascii="Times New Roman" w:cs="Times New Roman" w:eastAsia="Times New Roman" w:hAnsi="Times New Roman"/>
          <w:i w:val="1"/>
          <w:iCs w:val="1"/>
          <w:rtl w:val="0"/>
        </w:rPr>
        <w:t xml:space="preserve">ōy</w:t>
      </w:r>
      <w:r w:rsidDel="00000000" w:rsidR="00000000" w:rsidRPr="00000000">
        <w:rPr>
          <w:rFonts w:ascii="Times New Roman" w:cs="Times New Roman" w:eastAsia="Times New Roman" w:hAnsi="Times New Roman"/>
          <w:rtl w:val="0"/>
        </w:rPr>
        <w:t xml:space="preserve"> ‘he/she’ is the subject of comparison, and they are being compared for their quality of being </w:t>
      </w:r>
      <w:r w:rsidDel="00000000" w:rsidR="00000000" w:rsidRPr="00000000">
        <w:rPr>
          <w:rFonts w:ascii="Times New Roman" w:cs="Times New Roman" w:eastAsia="Times New Roman" w:hAnsi="Times New Roman"/>
          <w:i w:val="1"/>
          <w:iCs w:val="1"/>
          <w:rtl w:val="0"/>
        </w:rPr>
        <w:t xml:space="preserve">tuwāngar</w:t>
      </w:r>
      <w:r w:rsidDel="00000000" w:rsidR="00000000" w:rsidRPr="00000000">
        <w:rPr>
          <w:rFonts w:ascii="Times New Roman" w:cs="Times New Roman" w:eastAsia="Times New Roman" w:hAnsi="Times New Roman"/>
          <w:rtl w:val="0"/>
        </w:rPr>
        <w:t xml:space="preserve"> ‘rich.’</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DMX-L19-01, 26.3</w:t>
      </w:r>
    </w:p>
    <w:tbl>
      <w:tblPr>
        <w:tblStyle w:val="Table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380"/>
        <w:gridCol w:w="660"/>
        <w:gridCol w:w="1815"/>
        <w:gridCol w:w="885"/>
        <w:gridCol w:w="900"/>
        <w:gridCol w:w="825"/>
        <w:gridCol w:w="1080"/>
        <w:tblGridChange w:id="0">
          <w:tblGrid>
            <w:gridCol w:w="960"/>
            <w:gridCol w:w="1380"/>
            <w:gridCol w:w="660"/>
            <w:gridCol w:w="1815"/>
            <w:gridCol w:w="885"/>
            <w:gridCol w:w="900"/>
            <w:gridCol w:w="825"/>
            <w:gridCol w:w="1080"/>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driyōšān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ōy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tuwāngartar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kē</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ī</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poor.</w:t>
            </w:r>
            <w:r w:rsidDel="00000000" w:rsidR="00000000" w:rsidRPr="00000000">
              <w:rPr>
                <w:rFonts w:ascii="Times New Roman" w:cs="Times New Roman" w:eastAsia="Times New Roman" w:hAnsi="Times New Roman"/>
                <w:smallCaps w:val="1"/>
                <w:rtl w:val="0"/>
              </w:rPr>
              <w:t xml:space="preserve">pl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richer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w:t>
            </w:r>
          </w:p>
        </w:tc>
      </w:tr>
    </w:tbl>
    <w:p w:rsidR="00000000" w:rsidDel="00000000" w:rsidP="00000000" w:rsidRDefault="00000000" w:rsidRPr="00000000" w14:paraId="00000036">
      <w:pPr>
        <w:spacing w:after="240" w:before="240"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 </w:t>
      </w:r>
    </w:p>
    <w:tbl>
      <w:tblPr>
        <w:tblStyle w:val="Table4"/>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665"/>
        <w:gridCol w:w="1155"/>
        <w:tblGridChange w:id="0">
          <w:tblGrid>
            <w:gridCol w:w="1830"/>
            <w:gridCol w:w="1665"/>
            <w:gridCol w:w="115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ēstēd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hunsand</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come.</w:t>
            </w:r>
            <w:r w:rsidDel="00000000" w:rsidR="00000000" w:rsidRPr="00000000">
              <w:rPr>
                <w:rFonts w:ascii="Times New Roman" w:cs="Times New Roman" w:eastAsia="Times New Roman" w:hAnsi="Times New Roman"/>
                <w:smallCaps w:val="1"/>
                <w:rtl w:val="0"/>
              </w:rPr>
              <w:t xml:space="preserve">pst.3sg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stand.</w:t>
            </w:r>
            <w:r w:rsidDel="00000000" w:rsidR="00000000" w:rsidRPr="00000000">
              <w:rPr>
                <w:rFonts w:ascii="Times New Roman" w:cs="Times New Roman" w:eastAsia="Times New Roman" w:hAnsi="Times New Roman"/>
                <w:smallCaps w:val="1"/>
                <w:rtl w:val="0"/>
              </w:rPr>
              <w:t xml:space="preserve">npst.3sg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happy</w:t>
            </w:r>
          </w:p>
        </w:tc>
      </w:tr>
    </w:tbl>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poor, he who is happy with what befalls, (is) richer.</w:t>
      </w:r>
    </w:p>
    <w:p w:rsidR="00000000" w:rsidDel="00000000" w:rsidP="00000000" w:rsidRDefault="00000000" w:rsidRPr="00000000" w14:paraId="0000003E">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particle </w:t>
      </w:r>
      <w:r w:rsidDel="00000000" w:rsidR="00000000" w:rsidRPr="00000000">
        <w:rPr>
          <w:rFonts w:ascii="Times New Roman" w:cs="Times New Roman" w:eastAsia="Times New Roman" w:hAnsi="Times New Roman"/>
          <w:i w:val="1"/>
          <w:iCs w:val="1"/>
          <w:rtl w:val="0"/>
        </w:rPr>
        <w:t xml:space="preserve">kū</w:t>
      </w:r>
      <w:r w:rsidDel="00000000" w:rsidR="00000000" w:rsidRPr="00000000">
        <w:rPr>
          <w:rFonts w:ascii="Times New Roman" w:cs="Times New Roman" w:eastAsia="Times New Roman" w:hAnsi="Times New Roman"/>
          <w:rtl w:val="0"/>
        </w:rPr>
        <w:t xml:space="preserve"> introduces the standard of comparison in a syntactically fixed construction. The constituent order is categorical in all 10 attested instances: the comparative adjective always precedes </w:t>
      </w:r>
      <w:r w:rsidDel="00000000" w:rsidR="00000000" w:rsidRPr="00000000">
        <w:rPr>
          <w:rFonts w:ascii="Times New Roman" w:cs="Times New Roman" w:eastAsia="Times New Roman" w:hAnsi="Times New Roman"/>
          <w:i w:val="1"/>
          <w:iCs w:val="1"/>
          <w:rtl w:val="0"/>
        </w:rPr>
        <w:t xml:space="preserve">kū, </w:t>
      </w:r>
      <w:r w:rsidDel="00000000" w:rsidR="00000000" w:rsidRPr="00000000">
        <w:rPr>
          <w:rFonts w:ascii="Times New Roman" w:cs="Times New Roman" w:eastAsia="Times New Roman" w:hAnsi="Times New Roman"/>
          <w:rtl w:val="0"/>
        </w:rPr>
        <w:t xml:space="preserve">such </w:t>
      </w:r>
      <w:r w:rsidDel="00000000" w:rsidR="00000000" w:rsidRPr="00000000">
        <w:rPr>
          <w:rFonts w:ascii="Times New Roman" w:cs="Times New Roman" w:eastAsia="Times New Roman" w:hAnsi="Times New Roman"/>
          <w:i w:val="1"/>
          <w:iCs w:val="1"/>
          <w:rtl w:val="0"/>
        </w:rPr>
        <w:t xml:space="preserve">weh</w:t>
      </w:r>
      <w:r w:rsidDel="00000000" w:rsidR="00000000" w:rsidRPr="00000000">
        <w:rPr>
          <w:rFonts w:ascii="Times New Roman" w:cs="Times New Roman" w:eastAsia="Times New Roman" w:hAnsi="Times New Roman"/>
          <w:rtl w:val="0"/>
        </w:rPr>
        <w:t xml:space="preserve"> ‘better’ as in 4.</w:t>
      </w:r>
    </w:p>
    <w:p w:rsidR="00000000" w:rsidDel="00000000" w:rsidP="00000000" w:rsidRDefault="00000000" w:rsidRPr="00000000" w14:paraId="0000003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[Subject of Comparison] [Comparative Adjective] + kū + [Standard of Comparison]</w:t>
      </w:r>
    </w:p>
    <w:p w:rsidR="00000000" w:rsidDel="00000000" w:rsidP="00000000" w:rsidRDefault="00000000" w:rsidRPr="00000000" w14:paraId="00000040">
      <w:pPr>
        <w:spacing w:after="240" w:before="240" w:lineRule="auto"/>
        <w:ind w:left="1400" w:hanging="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GBd-TD1-01 30.28</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00"/>
        <w:gridCol w:w="900"/>
        <w:gridCol w:w="930"/>
        <w:gridCol w:w="930"/>
        <w:gridCol w:w="1365"/>
        <w:gridCol w:w="1140"/>
        <w:gridCol w:w="1785"/>
        <w:tblGridChange w:id="0">
          <w:tblGrid>
            <w:gridCol w:w="915"/>
            <w:gridCol w:w="900"/>
            <w:gridCol w:w="900"/>
            <w:gridCol w:w="930"/>
            <w:gridCol w:w="930"/>
            <w:gridCol w:w="1365"/>
            <w:gridCol w:w="1140"/>
            <w:gridCol w:w="178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agar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=ēw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was</w:t>
            </w:r>
            <w:r w:rsidDel="00000000" w:rsidR="00000000" w:rsidRPr="00000000">
              <w:rPr>
                <w:rFonts w:ascii="Times New Roman" w:cs="Times New Roman" w:eastAsia="Times New Roman" w:hAnsi="Times New Roman"/>
                <w:i w:val="1"/>
                <w:iCs w:val="1"/>
                <w:rtl w:val="0"/>
              </w:rPr>
              <w:t xml:space="preserve">tēx</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=ī</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brīnē</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razor-sharp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=ez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wound.</w:t>
            </w:r>
            <w:r w:rsidDel="00000000" w:rsidR="00000000" w:rsidRPr="00000000">
              <w:rPr>
                <w:rFonts w:ascii="Times New Roman" w:cs="Times New Roman" w:eastAsia="Times New Roman" w:hAnsi="Times New Roman"/>
                <w:smallCaps w:val="1"/>
                <w:rtl w:val="0"/>
              </w:rPr>
              <w:t xml:space="preserve">npst.2sg</w:t>
            </w:r>
          </w:p>
        </w:tc>
      </w:tr>
    </w:tbl>
    <w:p w:rsidR="00000000" w:rsidDel="00000000" w:rsidP="00000000" w:rsidRDefault="00000000" w:rsidRPr="00000000" w14:paraId="00000051">
      <w:pPr>
        <w:spacing w:after="240" w:before="240" w:lineRule="auto"/>
        <w:ind w:left="1400" w:hanging="700"/>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sz w:val="4"/>
          <w:szCs w:val="4"/>
          <w:rtl w:val="0"/>
        </w:rPr>
        <w:t xml:space="preserve"> </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620"/>
        <w:gridCol w:w="1005"/>
        <w:gridCol w:w="990"/>
        <w:gridCol w:w="990"/>
        <w:gridCol w:w="1005"/>
        <w:gridCol w:w="960"/>
        <w:gridCol w:w="1305"/>
        <w:tblGridChange w:id="0">
          <w:tblGrid>
            <w:gridCol w:w="1065"/>
            <w:gridCol w:w="1620"/>
            <w:gridCol w:w="1005"/>
            <w:gridCol w:w="990"/>
            <w:gridCol w:w="990"/>
            <w:gridCol w:w="1005"/>
            <w:gridCol w:w="960"/>
            <w:gridCol w:w="130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weh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sahēd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kū</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gām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abar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ēn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rawam</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better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appear.</w:t>
            </w:r>
            <w:r w:rsidDel="00000000" w:rsidR="00000000" w:rsidRPr="00000000">
              <w:rPr>
                <w:rFonts w:ascii="Times New Roman" w:cs="Times New Roman" w:eastAsia="Times New Roman" w:hAnsi="Times New Roman"/>
                <w:smallCaps w:val="1"/>
                <w:rtl w:val="0"/>
              </w:rPr>
              <w:t xml:space="preserve">npst.3sg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go.</w:t>
            </w:r>
            <w:r w:rsidDel="00000000" w:rsidR="00000000" w:rsidRPr="00000000">
              <w:rPr>
                <w:rFonts w:ascii="Times New Roman" w:cs="Times New Roman" w:eastAsia="Times New Roman" w:hAnsi="Times New Roman"/>
                <w:smallCaps w:val="1"/>
                <w:rtl w:val="0"/>
              </w:rPr>
              <w:t xml:space="preserve">npst.1sg</w:t>
            </w:r>
          </w:p>
        </w:tc>
      </w:tr>
    </w:tbl>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wound me with a many-edged blow, that appears </w:t>
      </w:r>
      <w:r w:rsidDel="00000000" w:rsidR="00000000" w:rsidRPr="00000000">
        <w:rPr>
          <w:rFonts w:ascii="Times New Roman" w:cs="Times New Roman" w:eastAsia="Times New Roman" w:hAnsi="Times New Roman"/>
          <w:highlight w:val="yellow"/>
          <w:rtl w:val="0"/>
        </w:rPr>
        <w:t xml:space="preserve">better than (if I) step</w:t>
      </w:r>
      <w:r w:rsidDel="00000000" w:rsidR="00000000" w:rsidRPr="00000000">
        <w:rPr>
          <w:rFonts w:ascii="Times New Roman" w:cs="Times New Roman" w:eastAsia="Times New Roman" w:hAnsi="Times New Roman"/>
          <w:rtl w:val="0"/>
        </w:rPr>
        <w:t xml:space="preserve"> on this.</w:t>
      </w:r>
    </w:p>
    <w:p w:rsidR="00000000" w:rsidDel="00000000" w:rsidP="00000000" w:rsidRDefault="00000000" w:rsidRPr="00000000" w14:paraId="00000063">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of comparison introduced by </w:t>
      </w:r>
      <w:r w:rsidDel="00000000" w:rsidR="00000000" w:rsidRPr="00000000">
        <w:rPr>
          <w:rFonts w:ascii="Times New Roman" w:cs="Times New Roman" w:eastAsia="Times New Roman" w:hAnsi="Times New Roman"/>
          <w:i w:val="1"/>
          <w:iCs w:val="1"/>
          <w:rtl w:val="0"/>
        </w:rPr>
        <w:t xml:space="preserve">kū</w:t>
      </w:r>
      <w:r w:rsidDel="00000000" w:rsidR="00000000" w:rsidRPr="00000000">
        <w:rPr>
          <w:rFonts w:ascii="Times New Roman" w:cs="Times New Roman" w:eastAsia="Times New Roman" w:hAnsi="Times New Roman"/>
          <w:rtl w:val="0"/>
        </w:rPr>
        <w:t xml:space="preserve"> is realized as a clause. In many instances, this is an elliptical clause where the verbal predicate is omitted, as its sense is recoverable from the main clause. The evidence that these are underlying clausal structures comes from the fixed constituent order. The remnant of the clause maintains a rigid position after the subordinator </w:t>
      </w:r>
      <w:r w:rsidDel="00000000" w:rsidR="00000000" w:rsidRPr="00000000">
        <w:rPr>
          <w:rFonts w:ascii="Times New Roman" w:cs="Times New Roman" w:eastAsia="Times New Roman" w:hAnsi="Times New Roman"/>
          <w:i w:val="1"/>
          <w:iCs w:val="1"/>
          <w:rtl w:val="0"/>
        </w:rPr>
        <w:t xml:space="preserve">kū</w:t>
      </w:r>
      <w:r w:rsidDel="00000000" w:rsidR="00000000" w:rsidRPr="00000000">
        <w:rPr>
          <w:rFonts w:ascii="Times New Roman" w:cs="Times New Roman" w:eastAsia="Times New Roman" w:hAnsi="Times New Roman"/>
          <w:rtl w:val="0"/>
        </w:rPr>
        <w:t xml:space="preserve">, which contrasts with the flexibility of phrases introduced by </w:t>
      </w:r>
      <w:r w:rsidDel="00000000" w:rsidR="00000000" w:rsidRPr="00000000">
        <w:rPr>
          <w:rFonts w:ascii="Times New Roman" w:cs="Times New Roman" w:eastAsia="Times New Roman" w:hAnsi="Times New Roman"/>
          <w:i w:val="1"/>
          <w:iCs w:val="1"/>
          <w:rtl w:val="0"/>
        </w:rPr>
        <w:t xml:space="preserve">az</w:t>
      </w:r>
      <w:r w:rsidDel="00000000" w:rsidR="00000000" w:rsidRPr="00000000">
        <w:rPr>
          <w:rFonts w:ascii="Times New Roman" w:cs="Times New Roman" w:eastAsia="Times New Roman" w:hAnsi="Times New Roman"/>
          <w:rtl w:val="0"/>
        </w:rPr>
        <w:t xml:space="preserve">. In example 5, </w:t>
      </w:r>
      <w:r w:rsidDel="00000000" w:rsidR="00000000" w:rsidRPr="00000000">
        <w:rPr>
          <w:rFonts w:ascii="Times New Roman" w:cs="Times New Roman" w:eastAsia="Times New Roman" w:hAnsi="Times New Roman"/>
          <w:i w:val="1"/>
          <w:iCs w:val="1"/>
          <w:rtl w:val="0"/>
        </w:rPr>
        <w:t xml:space="preserve">kū</w:t>
      </w:r>
      <w:r w:rsidDel="00000000" w:rsidR="00000000" w:rsidRPr="00000000">
        <w:rPr>
          <w:rFonts w:ascii="Times New Roman" w:cs="Times New Roman" w:eastAsia="Times New Roman" w:hAnsi="Times New Roman"/>
          <w:rtl w:val="0"/>
        </w:rPr>
        <w:t xml:space="preserve"> introduces an elliptical copula clause.</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DMX-L19-01, 26.7</w:t>
      </w:r>
    </w:p>
    <w:tbl>
      <w:tblPr>
        <w:tblStyle w:val="Table7"/>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410"/>
        <w:gridCol w:w="1200"/>
        <w:gridCol w:w="2490"/>
        <w:tblGridChange w:id="0">
          <w:tblGrid>
            <w:gridCol w:w="2010"/>
            <w:gridCol w:w="1410"/>
            <w:gridCol w:w="1200"/>
            <w:gridCol w:w="2490"/>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dušxēm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weh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kū</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dušāgāh</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malicious person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better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misinformed person</w:t>
            </w:r>
          </w:p>
        </w:tc>
      </w:tr>
    </w:tbl>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malicious person is better than (how) a misinformed person (is).</w:t>
      </w:r>
    </w:p>
    <w:p w:rsidR="00000000" w:rsidDel="00000000" w:rsidP="00000000" w:rsidRDefault="00000000" w:rsidRPr="00000000" w14:paraId="0000006E">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subordinate status of the </w:t>
      </w:r>
      <w:r w:rsidDel="00000000" w:rsidR="00000000" w:rsidRPr="00000000">
        <w:rPr>
          <w:rFonts w:ascii="Times New Roman" w:cs="Times New Roman" w:eastAsia="Times New Roman" w:hAnsi="Times New Roman"/>
          <w:i w:val="1"/>
          <w:iCs w:val="1"/>
          <w:rtl w:val="0"/>
        </w:rPr>
        <w:t xml:space="preserve">kū</w:t>
      </w:r>
      <w:r w:rsidDel="00000000" w:rsidR="00000000" w:rsidRPr="00000000">
        <w:rPr>
          <w:rFonts w:ascii="Times New Roman" w:cs="Times New Roman" w:eastAsia="Times New Roman" w:hAnsi="Times New Roman"/>
          <w:rtl w:val="0"/>
        </w:rPr>
        <w:t xml:space="preserve">-construction is further confirmed by its sentence-level position. In 100% of the analyzed cases, the main clause’s root precedes the </w:t>
      </w:r>
      <w:r w:rsidDel="00000000" w:rsidR="00000000" w:rsidRPr="00000000">
        <w:rPr>
          <w:rFonts w:ascii="Times New Roman" w:cs="Times New Roman" w:eastAsia="Times New Roman" w:hAnsi="Times New Roman"/>
          <w:i w:val="1"/>
          <w:iCs w:val="1"/>
          <w:rtl w:val="0"/>
        </w:rPr>
        <w:t xml:space="preserve">kū</w:t>
      </w:r>
      <w:r w:rsidDel="00000000" w:rsidR="00000000" w:rsidRPr="00000000">
        <w:rPr>
          <w:rFonts w:ascii="Times New Roman" w:cs="Times New Roman" w:eastAsia="Times New Roman" w:hAnsi="Times New Roman"/>
          <w:rtl w:val="0"/>
        </w:rPr>
        <w:t xml:space="preserve">-construction. In the above examples, the root for 5 is </w:t>
      </w:r>
      <w:r w:rsidDel="00000000" w:rsidR="00000000" w:rsidRPr="00000000">
        <w:rPr>
          <w:rFonts w:ascii="Times New Roman" w:cs="Times New Roman" w:eastAsia="Times New Roman" w:hAnsi="Times New Roman"/>
          <w:i w:val="1"/>
          <w:iCs w:val="1"/>
          <w:rtl w:val="0"/>
        </w:rPr>
        <w:t xml:space="preserve">weh, </w:t>
      </w:r>
      <w:r w:rsidDel="00000000" w:rsidR="00000000" w:rsidRPr="00000000">
        <w:rPr>
          <w:rFonts w:ascii="Times New Roman" w:cs="Times New Roman" w:eastAsia="Times New Roman" w:hAnsi="Times New Roman"/>
          <w:rtl w:val="0"/>
        </w:rPr>
        <w:t xml:space="preserve">and in 4 is </w:t>
      </w:r>
      <w:r w:rsidDel="00000000" w:rsidR="00000000" w:rsidRPr="00000000">
        <w:rPr>
          <w:rFonts w:ascii="Times New Roman" w:cs="Times New Roman" w:eastAsia="Times New Roman" w:hAnsi="Times New Roman"/>
          <w:i w:val="1"/>
          <w:iCs w:val="1"/>
          <w:rtl w:val="0"/>
        </w:rPr>
        <w:t xml:space="preserve">sahēd,</w:t>
      </w:r>
      <w:r w:rsidDel="00000000" w:rsidR="00000000" w:rsidRPr="00000000">
        <w:rPr>
          <w:rFonts w:ascii="Times New Roman" w:cs="Times New Roman" w:eastAsia="Times New Roman" w:hAnsi="Times New Roman"/>
          <w:rtl w:val="0"/>
        </w:rPr>
        <w:t xml:space="preserve"> both of which precede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kū</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Strategies for comparison are systematically available for adverbs too. For example, in 6, the adverb </w:t>
      </w:r>
      <w:r w:rsidDel="00000000" w:rsidR="00000000" w:rsidRPr="00000000">
        <w:rPr>
          <w:rFonts w:ascii="Times New Roman" w:cs="Times New Roman" w:eastAsia="Times New Roman" w:hAnsi="Times New Roman"/>
          <w:i w:val="1"/>
          <w:iCs w:val="1"/>
          <w:rtl w:val="0"/>
        </w:rPr>
        <w:t xml:space="preserve">xwēšīhā</w:t>
      </w:r>
      <w:r w:rsidDel="00000000" w:rsidR="00000000" w:rsidRPr="00000000">
        <w:rPr>
          <w:rFonts w:ascii="Times New Roman" w:cs="Times New Roman" w:eastAsia="Times New Roman" w:hAnsi="Times New Roman"/>
          <w:rtl w:val="0"/>
        </w:rPr>
        <w:t xml:space="preserve"> ‘privately’ is inflected for degree and compares two sentences. In the second, the verb (</w:t>
      </w:r>
      <w:r w:rsidDel="00000000" w:rsidR="00000000" w:rsidRPr="00000000">
        <w:rPr>
          <w:rFonts w:ascii="Times New Roman" w:cs="Times New Roman" w:eastAsia="Times New Roman" w:hAnsi="Times New Roman"/>
          <w:i w:val="1"/>
          <w:iCs w:val="1"/>
          <w:rtl w:val="0"/>
        </w:rPr>
        <w:t xml:space="preserve">dāštan</w:t>
      </w:r>
      <w:r w:rsidDel="00000000" w:rsidR="00000000" w:rsidRPr="00000000">
        <w:rPr>
          <w:rFonts w:ascii="Times New Roman" w:cs="Times New Roman" w:eastAsia="Times New Roman" w:hAnsi="Times New Roman"/>
          <w:rtl w:val="0"/>
        </w:rPr>
        <w:t xml:space="preserve"> ‘keep’) is again elliptic.</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DK6-B-01, E.43b</w:t>
      </w:r>
    </w:p>
    <w:tbl>
      <w:tblPr>
        <w:tblStyle w:val="Table8"/>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50"/>
        <w:gridCol w:w="1200"/>
        <w:gridCol w:w="1575"/>
        <w:gridCol w:w="1080"/>
        <w:gridCol w:w="1170"/>
        <w:gridCol w:w="870"/>
        <w:tblGridChange w:id="0">
          <w:tblGrid>
            <w:gridCol w:w="1005"/>
            <w:gridCol w:w="750"/>
            <w:gridCol w:w="1200"/>
            <w:gridCol w:w="1575"/>
            <w:gridCol w:w="1080"/>
            <w:gridCol w:w="1170"/>
            <w:gridCol w:w="870"/>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rāz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=ī</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sālārān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xwēšīhātar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sazēd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dāštan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kū</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=ez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chiefs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more privately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proper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keep.</w:t>
            </w:r>
            <w:r w:rsidDel="00000000" w:rsidR="00000000" w:rsidRPr="00000000">
              <w:rPr>
                <w:rFonts w:ascii="Times New Roman" w:cs="Times New Roman" w:eastAsia="Times New Roman" w:hAnsi="Times New Roman"/>
                <w:smallCaps w:val="1"/>
                <w:rtl w:val="0"/>
              </w:rPr>
              <w:t xml:space="preserve">inf</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than</w:t>
            </w:r>
          </w:p>
        </w:tc>
      </w:tr>
    </w:tbl>
    <w:p w:rsidR="00000000" w:rsidDel="00000000" w:rsidP="00000000" w:rsidRDefault="00000000" w:rsidRPr="00000000" w14:paraId="0000007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9"/>
        <w:tblW w:w="7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335"/>
        <w:gridCol w:w="1515"/>
        <w:gridCol w:w="1080"/>
        <w:gridCol w:w="1680"/>
        <w:tblGridChange w:id="0">
          <w:tblGrid>
            <w:gridCol w:w="1560"/>
            <w:gridCol w:w="1335"/>
            <w:gridCol w:w="1515"/>
            <w:gridCol w:w="1080"/>
            <w:gridCol w:w="1680"/>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wēmārīh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āhōg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=ī</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nihānīg</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disease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=ez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w:t>
            </w:r>
          </w:p>
        </w:tc>
      </w:tr>
    </w:tbl>
    <w:p w:rsidR="00000000" w:rsidDel="00000000" w:rsidP="00000000" w:rsidRDefault="00000000" w:rsidRPr="00000000" w14:paraId="000000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more proper to keep the secret of chiefs more privately than (to keep secret) a hidden disease or fault…</w:t>
      </w:r>
    </w:p>
    <w:p w:rsidR="00000000" w:rsidDel="00000000" w:rsidP="00000000" w:rsidRDefault="00000000" w:rsidRPr="00000000" w14:paraId="0000008B">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corpus contains no nouns inflected for comparative or superlative degree. A few exceptions appear only in cases where the comparative form originates from a lexicalized present participle, e.g., </w:t>
      </w:r>
      <w:r w:rsidDel="00000000" w:rsidR="00000000" w:rsidRPr="00000000">
        <w:rPr>
          <w:rFonts w:ascii="Times New Roman" w:cs="Times New Roman" w:eastAsia="Times New Roman" w:hAnsi="Times New Roman"/>
          <w:i w:val="1"/>
          <w:iCs w:val="1"/>
          <w:rtl w:val="0"/>
        </w:rPr>
        <w:t xml:space="preserve">wizistār</w:t>
      </w:r>
      <w:r w:rsidDel="00000000" w:rsidR="00000000" w:rsidRPr="00000000">
        <w:rPr>
          <w:rFonts w:ascii="Times New Roman" w:cs="Times New Roman" w:eastAsia="Times New Roman" w:hAnsi="Times New Roman"/>
          <w:rtl w:val="0"/>
        </w:rPr>
        <w:t xml:space="preserve"> ‘discerning, discerner’ (in example 7), or an adjective used substantively, such as </w:t>
      </w:r>
      <w:r w:rsidDel="00000000" w:rsidR="00000000" w:rsidRPr="00000000">
        <w:rPr>
          <w:rFonts w:ascii="Times New Roman" w:cs="Times New Roman" w:eastAsia="Times New Roman" w:hAnsi="Times New Roman"/>
          <w:i w:val="1"/>
          <w:iCs w:val="1"/>
          <w:rtl w:val="0"/>
        </w:rPr>
        <w:t xml:space="preserve">wad</w:t>
      </w:r>
      <w:r w:rsidDel="00000000" w:rsidR="00000000" w:rsidRPr="00000000">
        <w:rPr>
          <w:rFonts w:ascii="Times New Roman" w:cs="Times New Roman" w:eastAsia="Times New Roman" w:hAnsi="Times New Roman"/>
          <w:rtl w:val="0"/>
        </w:rPr>
        <w:t xml:space="preserve"> ‘bad,’ which refers contextually to ‘a bad/evil person.’</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RAF-TD2-01, 3.2</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630"/>
        <w:gridCol w:w="1110"/>
        <w:gridCol w:w="660"/>
        <w:gridCol w:w="915"/>
        <w:gridCol w:w="945"/>
        <w:gridCol w:w="765"/>
        <w:gridCol w:w="705"/>
        <w:gridCol w:w="900"/>
        <w:gridCol w:w="1410"/>
        <w:tblGridChange w:id="0">
          <w:tblGrid>
            <w:gridCol w:w="855"/>
            <w:gridCol w:w="630"/>
            <w:gridCol w:w="1110"/>
            <w:gridCol w:w="660"/>
            <w:gridCol w:w="915"/>
            <w:gridCol w:w="945"/>
            <w:gridCol w:w="765"/>
            <w:gridCol w:w="705"/>
            <w:gridCol w:w="900"/>
            <w:gridCol w:w="141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dastwar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nē</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ēstēd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ī</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dādestān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jurisdiction</w:t>
            </w:r>
          </w:p>
        </w:tc>
      </w:tr>
    </w:tbl>
    <w:p w:rsidR="00000000" w:rsidDel="00000000" w:rsidP="00000000" w:rsidRDefault="00000000" w:rsidRPr="00000000" w14:paraId="000000A1">
      <w:pPr>
        <w:spacing w:after="240" w:before="240"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 </w:t>
      </w:r>
    </w:p>
    <w:tbl>
      <w:tblPr>
        <w:tblStyle w:val="Table11"/>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50"/>
        <w:gridCol w:w="570"/>
        <w:gridCol w:w="1395"/>
        <w:gridCol w:w="975"/>
        <w:gridCol w:w="735"/>
        <w:gridCol w:w="2040"/>
        <w:tblGridChange w:id="0">
          <w:tblGrid>
            <w:gridCol w:w="930"/>
            <w:gridCol w:w="1350"/>
            <w:gridCol w:w="570"/>
            <w:gridCol w:w="1395"/>
            <w:gridCol w:w="975"/>
            <w:gridCol w:w="735"/>
            <w:gridCol w:w="2040"/>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frāz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wizistārtar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sālār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=ē</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paydāgēnišn</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discerning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guardian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pvb</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declare.</w:t>
            </w:r>
            <w:r w:rsidDel="00000000" w:rsidR="00000000" w:rsidRPr="00000000">
              <w:rPr>
                <w:rFonts w:ascii="Times New Roman" w:cs="Times New Roman" w:eastAsia="Times New Roman" w:hAnsi="Times New Roman"/>
                <w:smallCaps w:val="1"/>
                <w:rtl w:val="0"/>
              </w:rPr>
              <w:t xml:space="preserve">nec</w:t>
            </w:r>
          </w:p>
        </w:tc>
      </w:tr>
    </w:tbl>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rad (or) authority has not come, the one who is more discerning in jurisdiction (and knows more of Avesta and Zand by heart) shall be declared the guardian.</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This confirms that nouns grammatically do not acquire degree. The lexicalized adjectives that have the inflection contain the semantics of the comparison but grammatically are not comparative forms.</w:t>
      </w:r>
    </w:p>
    <w:p w:rsidR="00000000" w:rsidDel="00000000" w:rsidP="00000000" w:rsidRDefault="00000000" w:rsidRPr="00000000" w14:paraId="000000B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XX.2 Intensification of the Comparative</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standard comparative forms, Middle Persian employs the adverbs </w:t>
      </w:r>
      <w:r w:rsidDel="00000000" w:rsidR="00000000" w:rsidRPr="00000000">
        <w:rPr>
          <w:rFonts w:ascii="Times New Roman" w:cs="Times New Roman" w:eastAsia="Times New Roman" w:hAnsi="Times New Roman"/>
          <w:i w:val="1"/>
          <w:iCs w:val="1"/>
          <w:rtl w:val="0"/>
        </w:rPr>
        <w:t xml:space="preserve">wēš</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was</w:t>
      </w:r>
      <w:r w:rsidDel="00000000" w:rsidR="00000000" w:rsidRPr="00000000">
        <w:rPr>
          <w:rFonts w:ascii="Times New Roman" w:cs="Times New Roman" w:eastAsia="Times New Roman" w:hAnsi="Times New Roman"/>
          <w:rtl w:val="0"/>
        </w:rPr>
        <w:t xml:space="preserve"> to intensify the degree of comparison. While both serve as intensifiers for comparative adjectives and adverbs, they carry different semantic weights. The adverb </w:t>
      </w:r>
      <w:r w:rsidDel="00000000" w:rsidR="00000000" w:rsidRPr="00000000">
        <w:rPr>
          <w:rFonts w:ascii="Times New Roman" w:cs="Times New Roman" w:eastAsia="Times New Roman" w:hAnsi="Times New Roman"/>
          <w:i w:val="1"/>
          <w:iCs w:val="1"/>
          <w:rtl w:val="0"/>
        </w:rPr>
        <w:t xml:space="preserve">wēš</w:t>
      </w:r>
      <w:r w:rsidDel="00000000" w:rsidR="00000000" w:rsidRPr="00000000">
        <w:rPr>
          <w:rFonts w:ascii="Times New Roman" w:cs="Times New Roman" w:eastAsia="Times New Roman" w:hAnsi="Times New Roman"/>
          <w:rtl w:val="0"/>
        </w:rPr>
        <w:t xml:space="preserve"> appears to provide a moderate intensification. In contrast, </w:t>
      </w:r>
      <w:r w:rsidDel="00000000" w:rsidR="00000000" w:rsidRPr="00000000">
        <w:rPr>
          <w:rFonts w:ascii="Times New Roman" w:cs="Times New Roman" w:eastAsia="Times New Roman" w:hAnsi="Times New Roman"/>
          <w:i w:val="1"/>
          <w:iCs w:val="1"/>
          <w:rtl w:val="0"/>
        </w:rPr>
        <w:t xml:space="preserve">was</w:t>
      </w:r>
      <w:r w:rsidDel="00000000" w:rsidR="00000000" w:rsidRPr="00000000">
        <w:rPr>
          <w:rFonts w:ascii="Times New Roman" w:cs="Times New Roman" w:eastAsia="Times New Roman" w:hAnsi="Times New Roman"/>
          <w:rtl w:val="0"/>
        </w:rPr>
        <w:t xml:space="preserve"> signals a stronger degree of comparison, often pushing the quality towards the borderline of excess. That might be why it is more often associated with negative adjectives, but its co-occurrences with positive adjectives in the corpus are attested.</w:t>
      </w:r>
    </w:p>
    <w:p w:rsidR="00000000" w:rsidDel="00000000" w:rsidP="00000000" w:rsidRDefault="00000000" w:rsidRPr="00000000" w14:paraId="000000B4">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stronger force of </w:t>
      </w:r>
      <w:r w:rsidDel="00000000" w:rsidR="00000000" w:rsidRPr="00000000">
        <w:rPr>
          <w:rFonts w:ascii="Times New Roman" w:cs="Times New Roman" w:eastAsia="Times New Roman" w:hAnsi="Times New Roman"/>
          <w:i w:val="1"/>
          <w:iCs w:val="1"/>
          <w:rtl w:val="0"/>
        </w:rPr>
        <w:t xml:space="preserve">was</w:t>
      </w:r>
      <w:r w:rsidDel="00000000" w:rsidR="00000000" w:rsidRPr="00000000">
        <w:rPr>
          <w:rFonts w:ascii="Times New Roman" w:cs="Times New Roman" w:eastAsia="Times New Roman" w:hAnsi="Times New Roman"/>
          <w:rtl w:val="0"/>
        </w:rPr>
        <w:t xml:space="preserve"> is evident in the following example, where it modifies </w:t>
      </w:r>
      <w:r w:rsidDel="00000000" w:rsidR="00000000" w:rsidRPr="00000000">
        <w:rPr>
          <w:rFonts w:ascii="Times New Roman" w:cs="Times New Roman" w:eastAsia="Times New Roman" w:hAnsi="Times New Roman"/>
          <w:i w:val="1"/>
          <w:iCs w:val="1"/>
          <w:rtl w:val="0"/>
        </w:rPr>
        <w:t xml:space="preserve">zyāngārtar</w:t>
      </w:r>
      <w:r w:rsidDel="00000000" w:rsidR="00000000" w:rsidRPr="00000000">
        <w:rPr>
          <w:rFonts w:ascii="Times New Roman" w:cs="Times New Roman" w:eastAsia="Times New Roman" w:hAnsi="Times New Roman"/>
          <w:rtl w:val="0"/>
        </w:rPr>
        <w:t xml:space="preserve"> ‘more damaging’ to mean ‘much more damaging,’ emphasizing the excess of harm caused by great wealth.</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AOD-K20-01, 14.1</w:t>
      </w:r>
    </w:p>
    <w:tbl>
      <w:tblPr>
        <w:tblStyle w:val="Table1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080"/>
        <w:gridCol w:w="720"/>
        <w:gridCol w:w="825"/>
        <w:gridCol w:w="1035"/>
        <w:gridCol w:w="930"/>
        <w:gridCol w:w="915"/>
        <w:gridCol w:w="930"/>
        <w:gridCol w:w="1725"/>
        <w:tblGridChange w:id="0">
          <w:tblGrid>
            <w:gridCol w:w="1020"/>
            <w:gridCol w:w="1080"/>
            <w:gridCol w:w="720"/>
            <w:gridCol w:w="825"/>
            <w:gridCol w:w="1035"/>
            <w:gridCol w:w="930"/>
            <w:gridCol w:w="915"/>
            <w:gridCol w:w="930"/>
            <w:gridCol w:w="172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xwāstag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=ī</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was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zyāngārtar</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wealth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=ez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much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more damaging</w:t>
            </w:r>
          </w:p>
        </w:tc>
      </w:tr>
    </w:tbl>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Through great wealth, (it) is much more damaging to everybody...</w:t>
      </w:r>
    </w:p>
    <w:p w:rsidR="00000000" w:rsidDel="00000000" w:rsidP="00000000" w:rsidRDefault="00000000" w:rsidRPr="00000000" w14:paraId="000000C9">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intensifier </w:t>
      </w:r>
      <w:r w:rsidDel="00000000" w:rsidR="00000000" w:rsidRPr="00000000">
        <w:rPr>
          <w:rFonts w:ascii="Times New Roman" w:cs="Times New Roman" w:eastAsia="Times New Roman" w:hAnsi="Times New Roman"/>
          <w:i w:val="1"/>
          <w:iCs w:val="1"/>
          <w:rtl w:val="0"/>
        </w:rPr>
        <w:t xml:space="preserve">wēš</w:t>
      </w:r>
      <w:r w:rsidDel="00000000" w:rsidR="00000000" w:rsidRPr="00000000">
        <w:rPr>
          <w:rFonts w:ascii="Times New Roman" w:cs="Times New Roman" w:eastAsia="Times New Roman" w:hAnsi="Times New Roman"/>
          <w:rtl w:val="0"/>
        </w:rPr>
        <w:t xml:space="preserve">, on the other hand, elevates the comparative degree more moderately. In the example below, it modifies </w:t>
      </w:r>
      <w:r w:rsidDel="00000000" w:rsidR="00000000" w:rsidRPr="00000000">
        <w:rPr>
          <w:rFonts w:ascii="Times New Roman" w:cs="Times New Roman" w:eastAsia="Times New Roman" w:hAnsi="Times New Roman"/>
          <w:i w:val="1"/>
          <w:iCs w:val="1"/>
          <w:rtl w:val="0"/>
        </w:rPr>
        <w:t xml:space="preserve">paydāgtar</w:t>
      </w:r>
      <w:r w:rsidDel="00000000" w:rsidR="00000000" w:rsidRPr="00000000">
        <w:rPr>
          <w:rFonts w:ascii="Times New Roman" w:cs="Times New Roman" w:eastAsia="Times New Roman" w:hAnsi="Times New Roman"/>
          <w:rtl w:val="0"/>
        </w:rPr>
        <w:t xml:space="preserve"> ‘more obvious,’ rendering the meaning ‘even more’ or ‘much more’ obvious, but without the same connotation of extremity as </w:t>
      </w:r>
      <w:r w:rsidDel="00000000" w:rsidR="00000000" w:rsidRPr="00000000">
        <w:rPr>
          <w:rFonts w:ascii="Times New Roman" w:cs="Times New Roman" w:eastAsia="Times New Roman" w:hAnsi="Times New Roman"/>
          <w:i w:val="1"/>
          <w:iCs w:val="1"/>
          <w:rtl w:val="0"/>
        </w:rPr>
        <w:t xml:space="preserve">was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DD-TD4a-01, 5.2</w:t>
      </w:r>
    </w:p>
    <w:tbl>
      <w:tblPr>
        <w:tblStyle w:val="Table1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140"/>
        <w:gridCol w:w="810"/>
        <w:gridCol w:w="870"/>
        <w:gridCol w:w="1095"/>
        <w:gridCol w:w="1770"/>
        <w:gridCol w:w="960"/>
        <w:gridCol w:w="1305"/>
        <w:tblGridChange w:id="0">
          <w:tblGrid>
            <w:gridCol w:w="990"/>
            <w:gridCol w:w="1140"/>
            <w:gridCol w:w="810"/>
            <w:gridCol w:w="870"/>
            <w:gridCol w:w="1095"/>
            <w:gridCol w:w="1770"/>
            <w:gridCol w:w="960"/>
            <w:gridCol w:w="130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anāgīh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bēš</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abar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wehān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b w:val="1"/>
                <w:bCs w:val="1"/>
                <w:i w:val="1"/>
                <w:iCs w:val="1"/>
              </w:rPr>
            </w:pPr>
            <w:commentRangeStart w:id="0"/>
            <w:r w:rsidDel="00000000" w:rsidR="00000000" w:rsidRPr="00000000">
              <w:rPr>
                <w:rFonts w:ascii="Times New Roman" w:cs="Times New Roman" w:eastAsia="Times New Roman" w:hAnsi="Times New Roman"/>
                <w:b w:val="1"/>
                <w:bCs w:val="1"/>
                <w:i w:val="1"/>
                <w:iCs w:val="1"/>
                <w:rtl w:val="0"/>
              </w:rPr>
              <w:t xml:space="preserve">wēš</w:t>
            </w:r>
            <w:commentRangeEnd w:id="0"/>
            <w:r w:rsidDel="00000000" w:rsidR="00000000" w:rsidRPr="00000000">
              <w:commentReference w:id="0"/>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paydāgtar</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(people)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obvious</w:t>
            </w:r>
          </w:p>
        </w:tc>
      </w:tr>
    </w:tbl>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Evil and harm are more obvious to good people.          </w:t>
        <w:tab/>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XX.3 The Superlative Degree</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superlative degree, typically marked by suffixes like </w:t>
      </w:r>
      <w:r w:rsidDel="00000000" w:rsidR="00000000" w:rsidRPr="00000000">
        <w:rPr>
          <w:rFonts w:ascii="Times New Roman" w:cs="Times New Roman" w:eastAsia="Times New Roman" w:hAnsi="Times New Roman"/>
          <w:i w:val="1"/>
          <w:iCs w:val="1"/>
          <w:rtl w:val="0"/>
        </w:rPr>
        <w:t xml:space="preserve">-tom</w:t>
      </w:r>
      <w:r w:rsidDel="00000000" w:rsidR="00000000" w:rsidRPr="00000000">
        <w:rPr>
          <w:rFonts w:ascii="Times New Roman" w:cs="Times New Roman" w:eastAsia="Times New Roman" w:hAnsi="Times New Roman"/>
          <w:rtl w:val="0"/>
        </w:rPr>
        <w:t xml:space="preserve">, expresses the highest level of a quality. The corpus reveals two primary syntactic uses for superlatives: absolute and relative.</w:t>
      </w:r>
    </w:p>
    <w:p w:rsidR="00000000" w:rsidDel="00000000" w:rsidP="00000000" w:rsidRDefault="00000000" w:rsidRPr="00000000" w14:paraId="000000DE">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absolute superlative assigns the highest degree of a quality to an entity without making a comparison to a specific group.</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Dk5-B-01, 24.15</w:t>
      </w:r>
    </w:p>
    <w:tbl>
      <w:tblPr>
        <w:tblStyle w:val="Table1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470"/>
        <w:gridCol w:w="1620"/>
        <w:gridCol w:w="810"/>
        <w:gridCol w:w="1545"/>
        <w:gridCol w:w="1065"/>
        <w:gridCol w:w="1065"/>
        <w:tblGridChange w:id="0">
          <w:tblGrid>
            <w:gridCol w:w="1350"/>
            <w:gridCol w:w="1470"/>
            <w:gridCol w:w="1620"/>
            <w:gridCol w:w="810"/>
            <w:gridCol w:w="1545"/>
            <w:gridCol w:w="1065"/>
            <w:gridCol w:w="106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paristišn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=ēw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ōy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=ī</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abardom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yazd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worship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=ez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superior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worship of the superior god …</w:t>
      </w:r>
    </w:p>
    <w:p w:rsidR="00000000" w:rsidDel="00000000" w:rsidP="00000000" w:rsidRDefault="00000000" w:rsidRPr="00000000" w14:paraId="000000EF">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superlative establishes rank against a specific group, the construction systematically uses the preposition </w:t>
      </w:r>
      <w:r w:rsidDel="00000000" w:rsidR="00000000" w:rsidRPr="00000000">
        <w:rPr>
          <w:rFonts w:ascii="Times New Roman" w:cs="Times New Roman" w:eastAsia="Times New Roman" w:hAnsi="Times New Roman"/>
          <w:i w:val="1"/>
          <w:iCs w:val="1"/>
          <w:sz w:val="20"/>
          <w:szCs w:val="20"/>
          <w:rtl w:val="0"/>
        </w:rPr>
        <w:t xml:space="preserve">az</w:t>
      </w:r>
      <w:r w:rsidDel="00000000" w:rsidR="00000000" w:rsidRPr="00000000">
        <w:rPr>
          <w:rFonts w:ascii="Times New Roman" w:cs="Times New Roman" w:eastAsia="Times New Roman" w:hAnsi="Times New Roman"/>
          <w:rtl w:val="0"/>
        </w:rPr>
        <w:t xml:space="preserve"> ‘from, among’ to introduce that group. For example, in 11, </w:t>
      </w:r>
      <w:r w:rsidDel="00000000" w:rsidR="00000000" w:rsidRPr="00000000">
        <w:rPr>
          <w:rFonts w:ascii="Times New Roman" w:cs="Times New Roman" w:eastAsia="Times New Roman" w:hAnsi="Times New Roman"/>
          <w:i w:val="1"/>
          <w:iCs w:val="1"/>
          <w:rtl w:val="0"/>
        </w:rPr>
        <w:t xml:space="preserve">xwarišnān</w:t>
      </w:r>
      <w:r w:rsidDel="00000000" w:rsidR="00000000" w:rsidRPr="00000000">
        <w:rPr>
          <w:rFonts w:ascii="Times New Roman" w:cs="Times New Roman" w:eastAsia="Times New Roman" w:hAnsi="Times New Roman"/>
          <w:rtl w:val="0"/>
        </w:rPr>
        <w:t xml:space="preserve"> ‘foods’ is the group subject to comparison.</w:t>
      </w:r>
    </w:p>
    <w:p w:rsidR="00000000" w:rsidDel="00000000" w:rsidP="00000000" w:rsidRDefault="00000000" w:rsidRPr="00000000" w14:paraId="000000F0">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[Superlative Adjective] + az + [Group]</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DMX-K43a-01, 2.190</w:t>
      </w:r>
    </w:p>
    <w:tbl>
      <w:tblPr>
        <w:tblStyle w:val="Table1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185"/>
        <w:gridCol w:w="825"/>
        <w:gridCol w:w="1050"/>
        <w:gridCol w:w="930"/>
        <w:gridCol w:w="570"/>
        <w:gridCol w:w="1140"/>
        <w:gridCol w:w="645"/>
        <w:gridCol w:w="1170"/>
        <w:gridCol w:w="915"/>
        <w:tblGridChange w:id="0">
          <w:tblGrid>
            <w:gridCol w:w="495"/>
            <w:gridCol w:w="1185"/>
            <w:gridCol w:w="825"/>
            <w:gridCol w:w="1050"/>
            <w:gridCol w:w="930"/>
            <w:gridCol w:w="570"/>
            <w:gridCol w:w="1140"/>
            <w:gridCol w:w="645"/>
            <w:gridCol w:w="1170"/>
            <w:gridCol w:w="91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bē</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=š</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awiš</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barēd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rēmtom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wattartom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xwarišnān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xwarišn</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=pron.3sg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bring.</w:t>
            </w:r>
            <w:r w:rsidDel="00000000" w:rsidR="00000000" w:rsidRPr="00000000">
              <w:rPr>
                <w:rFonts w:ascii="Times New Roman" w:cs="Times New Roman" w:eastAsia="Times New Roman" w:hAnsi="Times New Roman"/>
                <w:smallCaps w:val="1"/>
                <w:rtl w:val="0"/>
              </w:rPr>
              <w:t xml:space="preserve">2pl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filthiest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rtl w:val="0"/>
              </w:rPr>
              <w:t xml:space="preserve">food.</w:t>
            </w:r>
            <w:r w:rsidDel="00000000" w:rsidR="00000000" w:rsidRPr="00000000">
              <w:rPr>
                <w:rFonts w:ascii="Times New Roman" w:cs="Times New Roman" w:eastAsia="Times New Roman" w:hAnsi="Times New Roman"/>
                <w:b w:val="1"/>
                <w:bCs w:val="1"/>
                <w:smallCaps w:val="1"/>
                <w:rtl w:val="0"/>
              </w:rPr>
              <w:t xml:space="preserve">pl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w:t>
            </w:r>
          </w:p>
        </w:tc>
      </w:tr>
    </w:tbl>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bring the filthiest and worst food of (all) foods.</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 order can also be different, as in 12, the group appears first and then the superlative adjective </w:t>
      </w:r>
      <w:r w:rsidDel="00000000" w:rsidR="00000000" w:rsidRPr="00000000">
        <w:rPr>
          <w:rFonts w:ascii="Times New Roman" w:cs="Times New Roman" w:eastAsia="Times New Roman" w:hAnsi="Times New Roman"/>
          <w:i w:val="1"/>
          <w:iCs w:val="1"/>
          <w:rtl w:val="0"/>
        </w:rPr>
        <w:t xml:space="preserve">xwābartom</w:t>
      </w:r>
      <w:r w:rsidDel="00000000" w:rsidR="00000000" w:rsidRPr="00000000">
        <w:rPr>
          <w:rFonts w:ascii="Times New Roman" w:cs="Times New Roman" w:eastAsia="Times New Roman" w:hAnsi="Times New Roman"/>
          <w:rtl w:val="0"/>
        </w:rPr>
        <w:t xml:space="preserve"> ‘the most beneficent’:</w:t>
      </w:r>
    </w:p>
    <w:p w:rsidR="00000000" w:rsidDel="00000000" w:rsidP="00000000" w:rsidRDefault="00000000" w:rsidRPr="00000000" w14:paraId="00000108">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az + [Group]+ [Superlative Adjective]</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DD-K35-01, 18.6</w:t>
      </w:r>
    </w:p>
    <w:tbl>
      <w:tblPr>
        <w:tblStyle w:val="Table1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350"/>
        <w:gridCol w:w="915"/>
        <w:gridCol w:w="960"/>
        <w:gridCol w:w="1965"/>
        <w:gridCol w:w="1890"/>
        <w:gridCol w:w="1065"/>
        <w:tblGridChange w:id="0">
          <w:tblGrid>
            <w:gridCol w:w="795"/>
            <w:gridCol w:w="1350"/>
            <w:gridCol w:w="915"/>
            <w:gridCol w:w="960"/>
            <w:gridCol w:w="1965"/>
            <w:gridCol w:w="1890"/>
            <w:gridCol w:w="106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paywāzišn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=ī</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xwābarān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xwābartom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rasēd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=ez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beneficents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most beneficent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reach</w:t>
            </w:r>
          </w:p>
        </w:tc>
      </w:tr>
    </w:tbl>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response of the most beneficient of the beneficent reaches.</w:t>
      </w:r>
    </w:p>
    <w:p w:rsidR="00000000" w:rsidDel="00000000" w:rsidP="00000000" w:rsidRDefault="00000000" w:rsidRPr="00000000" w14:paraId="00000119">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morphologically comparative adjective can acquire a superlative sense from its context, particularly when the standard of comparison introduced by </w:t>
      </w:r>
      <w:r w:rsidDel="00000000" w:rsidR="00000000" w:rsidRPr="00000000">
        <w:rPr>
          <w:rFonts w:ascii="Times New Roman" w:cs="Times New Roman" w:eastAsia="Times New Roman" w:hAnsi="Times New Roman"/>
          <w:i w:val="1"/>
          <w:iCs w:val="1"/>
          <w:rtl w:val="0"/>
        </w:rPr>
        <w:t xml:space="preserve">az</w:t>
      </w:r>
      <w:r w:rsidDel="00000000" w:rsidR="00000000" w:rsidRPr="00000000">
        <w:rPr>
          <w:rFonts w:ascii="Times New Roman" w:cs="Times New Roman" w:eastAsia="Times New Roman" w:hAnsi="Times New Roman"/>
          <w:rtl w:val="0"/>
        </w:rPr>
        <w:t xml:space="preserve"> ‘from’ denotes a totality. For example, in 13, </w:t>
      </w:r>
      <w:r w:rsidDel="00000000" w:rsidR="00000000" w:rsidRPr="00000000">
        <w:rPr>
          <w:rFonts w:ascii="Times New Roman" w:cs="Times New Roman" w:eastAsia="Times New Roman" w:hAnsi="Times New Roman"/>
          <w:i w:val="1"/>
          <w:iCs w:val="1"/>
          <w:rtl w:val="0"/>
        </w:rPr>
        <w:t xml:space="preserve">rāmišn</w:t>
      </w:r>
      <w:r w:rsidDel="00000000" w:rsidR="00000000" w:rsidRPr="00000000">
        <w:rPr>
          <w:rFonts w:ascii="Times New Roman" w:cs="Times New Roman" w:eastAsia="Times New Roman" w:hAnsi="Times New Roman"/>
          <w:rtl w:val="0"/>
        </w:rPr>
        <w:t xml:space="preserve"> ‘pleasure,’ despite being a singular noun, denotes different types of pleasure one can experience. This is explicitly signaled by the determiner </w:t>
      </w:r>
      <w:r w:rsidDel="00000000" w:rsidR="00000000" w:rsidRPr="00000000">
        <w:rPr>
          <w:rFonts w:ascii="Times New Roman" w:cs="Times New Roman" w:eastAsia="Times New Roman" w:hAnsi="Times New Roman"/>
          <w:i w:val="1"/>
          <w:iCs w:val="1"/>
          <w:rtl w:val="0"/>
        </w:rPr>
        <w:t xml:space="preserve">harw</w:t>
      </w:r>
      <w:r w:rsidDel="00000000" w:rsidR="00000000" w:rsidRPr="00000000">
        <w:rPr>
          <w:rFonts w:ascii="Times New Roman" w:cs="Times New Roman" w:eastAsia="Times New Roman" w:hAnsi="Times New Roman"/>
          <w:rtl w:val="0"/>
        </w:rPr>
        <w:t xml:space="preserve"> ‘every’.</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DMX-L19-01, 15.2</w:t>
      </w:r>
    </w:p>
    <w:tbl>
      <w:tblPr>
        <w:tblStyle w:val="Table17"/>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40"/>
        <w:gridCol w:w="1095"/>
        <w:gridCol w:w="1185"/>
        <w:gridCol w:w="1500"/>
        <w:gridCol w:w="2505"/>
        <w:tblGridChange w:id="0">
          <w:tblGrid>
            <w:gridCol w:w="1500"/>
            <w:gridCol w:w="840"/>
            <w:gridCol w:w="1095"/>
            <w:gridCol w:w="1185"/>
            <w:gridCol w:w="1500"/>
            <w:gridCol w:w="250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rāmišn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=ī</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rāmišn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frāztar</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pleasure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=ez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pleasure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prominent</w:t>
            </w:r>
          </w:p>
        </w:tc>
      </w:tr>
    </w:tbl>
    <w:p w:rsidR="00000000" w:rsidDel="00000000" w:rsidP="00000000" w:rsidRDefault="00000000" w:rsidRPr="00000000" w14:paraId="00000127">
      <w:pPr>
        <w:spacing w:after="240" w:before="240"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 </w:t>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245"/>
        <w:gridCol w:w="1890"/>
        <w:gridCol w:w="1395"/>
        <w:gridCol w:w="2070"/>
        <w:tblGridChange w:id="0">
          <w:tblGrid>
            <w:gridCol w:w="2235"/>
            <w:gridCol w:w="1245"/>
            <w:gridCol w:w="1890"/>
            <w:gridCol w:w="1395"/>
            <w:gridCol w:w="2070"/>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tandrustīh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husrawīh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ahlāyīh</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bodily health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reputation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righteousness</w:t>
            </w:r>
          </w:p>
        </w:tc>
      </w:tr>
    </w:tbl>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prominent (type of) pleasure among all (types of) pleasure is bodily health, good reputation, and righteousness.</w:t>
      </w:r>
    </w:p>
    <w:p w:rsidR="00000000" w:rsidDel="00000000" w:rsidP="00000000" w:rsidRDefault="00000000" w:rsidRPr="00000000" w14:paraId="0000013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XX.4 Equative Comparison</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correlative pairs </w:t>
      </w:r>
      <w:r w:rsidDel="00000000" w:rsidR="00000000" w:rsidRPr="00000000">
        <w:rPr>
          <w:rFonts w:ascii="Times New Roman" w:cs="Times New Roman" w:eastAsia="Times New Roman" w:hAnsi="Times New Roman"/>
          <w:i w:val="1"/>
          <w:iCs w:val="1"/>
          <w:rtl w:val="0"/>
        </w:rPr>
        <w:t xml:space="preserve">ēdōn ... čiyōn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ōwōn…čiyōn</w:t>
      </w:r>
      <w:r w:rsidDel="00000000" w:rsidR="00000000" w:rsidRPr="00000000">
        <w:rPr>
          <w:rFonts w:ascii="Times New Roman" w:cs="Times New Roman" w:eastAsia="Times New Roman" w:hAnsi="Times New Roman"/>
          <w:rtl w:val="0"/>
        </w:rPr>
        <w:t xml:space="preserve"> express a direct comparison of manner or state, similar to English ‘so...as’ or ‘thus...like’. In this construction, </w:t>
      </w:r>
      <w:r w:rsidDel="00000000" w:rsidR="00000000" w:rsidRPr="00000000">
        <w:rPr>
          <w:rFonts w:ascii="Times New Roman" w:cs="Times New Roman" w:eastAsia="Times New Roman" w:hAnsi="Times New Roman"/>
          <w:i w:val="1"/>
          <w:iCs w:val="1"/>
          <w:rtl w:val="0"/>
        </w:rPr>
        <w:t xml:space="preserve">ēdōn</w:t>
      </w:r>
      <w:r w:rsidDel="00000000" w:rsidR="00000000" w:rsidRPr="00000000">
        <w:rPr>
          <w:rFonts w:ascii="Times New Roman" w:cs="Times New Roman" w:eastAsia="Times New Roman" w:hAnsi="Times New Roman"/>
          <w:rtl w:val="0"/>
        </w:rPr>
        <w:t xml:space="preserve"> ‘thus, so’ modifies the state in the main clause, while </w:t>
      </w:r>
      <w:r w:rsidDel="00000000" w:rsidR="00000000" w:rsidRPr="00000000">
        <w:rPr>
          <w:rFonts w:ascii="Times New Roman" w:cs="Times New Roman" w:eastAsia="Times New Roman" w:hAnsi="Times New Roman"/>
          <w:i w:val="1"/>
          <w:iCs w:val="1"/>
          <w:rtl w:val="0"/>
        </w:rPr>
        <w:t xml:space="preserve">čiyōn</w:t>
      </w:r>
      <w:r w:rsidDel="00000000" w:rsidR="00000000" w:rsidRPr="00000000">
        <w:rPr>
          <w:rFonts w:ascii="Times New Roman" w:cs="Times New Roman" w:eastAsia="Times New Roman" w:hAnsi="Times New Roman"/>
          <w:rtl w:val="0"/>
        </w:rPr>
        <w:t xml:space="preserve"> ‘like, as’ introduces the standard of comparison. This is illustrated in the following example:</w:t>
      </w:r>
    </w:p>
    <w:p w:rsidR="00000000" w:rsidDel="00000000" w:rsidP="00000000" w:rsidRDefault="00000000" w:rsidRPr="00000000" w14:paraId="00000135">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14, the standard of comparison is </w:t>
      </w:r>
      <w:r w:rsidDel="00000000" w:rsidR="00000000" w:rsidRPr="00000000">
        <w:rPr>
          <w:rFonts w:ascii="Times New Roman" w:cs="Times New Roman" w:eastAsia="Times New Roman" w:hAnsi="Times New Roman"/>
          <w:i w:val="1"/>
          <w:iCs w:val="1"/>
          <w:rtl w:val="0"/>
        </w:rPr>
        <w:t xml:space="preserve">wattarān </w:t>
      </w:r>
      <w:r w:rsidDel="00000000" w:rsidR="00000000" w:rsidRPr="00000000">
        <w:rPr>
          <w:rFonts w:ascii="Times New Roman" w:cs="Times New Roman" w:eastAsia="Times New Roman" w:hAnsi="Times New Roman"/>
          <w:rtl w:val="0"/>
        </w:rPr>
        <w:t xml:space="preserve">‘the bad (people),’ and the subject of comparison is </w:t>
      </w:r>
      <w:r w:rsidDel="00000000" w:rsidR="00000000" w:rsidRPr="00000000">
        <w:rPr>
          <w:rFonts w:ascii="Times New Roman" w:cs="Times New Roman" w:eastAsia="Times New Roman" w:hAnsi="Times New Roman"/>
          <w:i w:val="1"/>
          <w:iCs w:val="1"/>
          <w:rtl w:val="0"/>
        </w:rPr>
        <w:t xml:space="preserve">wehān</w:t>
      </w:r>
      <w:r w:rsidDel="00000000" w:rsidR="00000000" w:rsidRPr="00000000">
        <w:rPr>
          <w:rFonts w:ascii="Times New Roman" w:cs="Times New Roman" w:eastAsia="Times New Roman" w:hAnsi="Times New Roman"/>
          <w:rtl w:val="0"/>
        </w:rPr>
        <w:t xml:space="preserve"> ‘the good people,’ stating that the distrusting man (</w:t>
      </w:r>
      <w:r w:rsidDel="00000000" w:rsidR="00000000" w:rsidRPr="00000000">
        <w:rPr>
          <w:rFonts w:ascii="Times New Roman" w:cs="Times New Roman" w:eastAsia="Times New Roman" w:hAnsi="Times New Roman"/>
          <w:i w:val="1"/>
          <w:iCs w:val="1"/>
          <w:rtl w:val="0"/>
        </w:rPr>
        <w:t xml:space="preserve">ōy ī mihōxtmenišn mard</w:t>
      </w:r>
      <w:r w:rsidDel="00000000" w:rsidR="00000000" w:rsidRPr="00000000">
        <w:rPr>
          <w:rFonts w:ascii="Times New Roman" w:cs="Times New Roman" w:eastAsia="Times New Roman" w:hAnsi="Times New Roman"/>
          <w:rtl w:val="0"/>
        </w:rPr>
        <w:t xml:space="preserve">) is equally doubtful (</w:t>
      </w:r>
      <w:r w:rsidDel="00000000" w:rsidR="00000000" w:rsidRPr="00000000">
        <w:rPr>
          <w:rFonts w:ascii="Times New Roman" w:cs="Times New Roman" w:eastAsia="Times New Roman" w:hAnsi="Times New Roman"/>
          <w:i w:val="1"/>
          <w:iCs w:val="1"/>
          <w:rtl w:val="0"/>
        </w:rPr>
        <w:t xml:space="preserve">warōmand</w:t>
      </w:r>
      <w:r w:rsidDel="00000000" w:rsidR="00000000" w:rsidRPr="00000000">
        <w:rPr>
          <w:rFonts w:ascii="Times New Roman" w:cs="Times New Roman" w:eastAsia="Times New Roman" w:hAnsi="Times New Roman"/>
          <w:rtl w:val="0"/>
        </w:rPr>
        <w:t xml:space="preserve">) of both the good and the bad.</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DMX-L19, 21.34</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155"/>
        <w:gridCol w:w="705"/>
        <w:gridCol w:w="1530"/>
        <w:gridCol w:w="840"/>
        <w:gridCol w:w="630"/>
        <w:gridCol w:w="1290"/>
        <w:gridCol w:w="795"/>
        <w:gridCol w:w="1335"/>
        <w:tblGridChange w:id="0">
          <w:tblGrid>
            <w:gridCol w:w="630"/>
            <w:gridCol w:w="1155"/>
            <w:gridCol w:w="705"/>
            <w:gridCol w:w="1530"/>
            <w:gridCol w:w="840"/>
            <w:gridCol w:w="630"/>
            <w:gridCol w:w="1290"/>
            <w:gridCol w:w="795"/>
            <w:gridCol w:w="133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ōy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=ī</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mihōxtmenišn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mard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wehān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ēdōn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warōmand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pron.3sg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=ez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distrusting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(people)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doubtful</w:t>
            </w:r>
          </w:p>
        </w:tc>
      </w:tr>
    </w:tbl>
    <w:p w:rsidR="00000000" w:rsidDel="00000000" w:rsidP="00000000" w:rsidRDefault="00000000" w:rsidRPr="00000000" w14:paraId="00000149">
      <w:pPr>
        <w:spacing w:after="240" w:befor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 </w:t>
      </w:r>
    </w:p>
    <w:tbl>
      <w:tblPr>
        <w:tblStyle w:val="Table20"/>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855"/>
        <w:gridCol w:w="2475"/>
        <w:tblGridChange w:id="0">
          <w:tblGrid>
            <w:gridCol w:w="1470"/>
            <w:gridCol w:w="855"/>
            <w:gridCol w:w="247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čiyōn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wattarān</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like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 (people)</w:t>
            </w:r>
          </w:p>
        </w:tc>
      </w:tr>
    </w:tbl>
    <w:p w:rsidR="00000000" w:rsidDel="00000000" w:rsidP="00000000" w:rsidRDefault="00000000" w:rsidRPr="00000000" w14:paraId="000001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 distrusting man is so doubtful of good people as (he is) of bad people.</w:t>
      </w:r>
    </w:p>
    <w:p w:rsidR="00000000" w:rsidDel="00000000" w:rsidP="00000000" w:rsidRDefault="00000000" w:rsidRPr="00000000" w14:paraId="00000151">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15, two sentences are compared. The core comparison is about the </w:t>
      </w:r>
      <w:r w:rsidDel="00000000" w:rsidR="00000000" w:rsidRPr="00000000">
        <w:rPr>
          <w:rFonts w:ascii="Times New Roman" w:cs="Times New Roman" w:eastAsia="Times New Roman" w:hAnsi="Times New Roman"/>
          <w:i w:val="1"/>
          <w:iCs w:val="1"/>
          <w:rtl w:val="0"/>
        </w:rPr>
        <w:t xml:space="preserve">rōšn</w:t>
      </w:r>
      <w:r w:rsidDel="00000000" w:rsidR="00000000" w:rsidRPr="00000000">
        <w:rPr>
          <w:rFonts w:ascii="Times New Roman" w:cs="Times New Roman" w:eastAsia="Times New Roman" w:hAnsi="Times New Roman"/>
          <w:rtl w:val="0"/>
        </w:rPr>
        <w:t xml:space="preserve"> ‘clarity’ of two different acts of recognition, which are expressed in the form of two sentences. The subject of comparison is the event in the main clause, namely “he” recognizing “the destruction of the demons (and) his own inability.” The standard of comparison is the event introduced by </w:t>
      </w:r>
      <w:r w:rsidDel="00000000" w:rsidR="00000000" w:rsidRPr="00000000">
        <w:rPr>
          <w:rFonts w:ascii="Times New Roman" w:cs="Times New Roman" w:eastAsia="Times New Roman" w:hAnsi="Times New Roman"/>
          <w:i w:val="1"/>
          <w:iCs w:val="1"/>
          <w:rtl w:val="0"/>
        </w:rPr>
        <w:t xml:space="preserve">čiyōn</w:t>
      </w:r>
      <w:r w:rsidDel="00000000" w:rsidR="00000000" w:rsidRPr="00000000">
        <w:rPr>
          <w:rFonts w:ascii="Times New Roman" w:cs="Times New Roman" w:eastAsia="Times New Roman" w:hAnsi="Times New Roman"/>
          <w:rtl w:val="0"/>
        </w:rPr>
        <w:t xml:space="preserve">: Ohrmazd recognizing “his own final victory.” The clarity of the first recognition is being measured against the clarity of this second one.</w:t>
      </w:r>
    </w:p>
    <w:p w:rsidR="00000000" w:rsidDel="00000000" w:rsidP="00000000" w:rsidRDefault="00000000" w:rsidRPr="00000000" w14:paraId="000001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GBd-TD1-01, 6a.4</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215"/>
        <w:gridCol w:w="1515"/>
        <w:gridCol w:w="870"/>
        <w:gridCol w:w="945"/>
        <w:gridCol w:w="1125"/>
        <w:gridCol w:w="990"/>
        <w:gridCol w:w="750"/>
        <w:gridCol w:w="915"/>
        <w:tblGridChange w:id="0">
          <w:tblGrid>
            <w:gridCol w:w="600"/>
            <w:gridCol w:w="1215"/>
            <w:gridCol w:w="1515"/>
            <w:gridCol w:w="870"/>
            <w:gridCol w:w="945"/>
            <w:gridCol w:w="1125"/>
            <w:gridCol w:w="990"/>
            <w:gridCol w:w="750"/>
            <w:gridCol w:w="91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=š</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abessinēnišnīh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=ī</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dēwān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agārīh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xwēš</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ōwōn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rōšn</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=pron.3sg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=ez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impotence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w:t>
            </w:r>
          </w:p>
        </w:tc>
      </w:tr>
    </w:tbl>
    <w:p w:rsidR="00000000" w:rsidDel="00000000" w:rsidP="00000000" w:rsidRDefault="00000000" w:rsidRPr="00000000" w14:paraId="00000165">
      <w:pPr>
        <w:spacing w:after="240" w:befor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 </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60"/>
        <w:gridCol w:w="1365"/>
        <w:gridCol w:w="1230"/>
        <w:gridCol w:w="1275"/>
        <w:gridCol w:w="1290"/>
        <w:gridCol w:w="1260"/>
        <w:tblGridChange w:id="0">
          <w:tblGrid>
            <w:gridCol w:w="930"/>
            <w:gridCol w:w="1560"/>
            <w:gridCol w:w="1365"/>
            <w:gridCol w:w="1230"/>
            <w:gridCol w:w="1275"/>
            <w:gridCol w:w="1290"/>
            <w:gridCol w:w="126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dīd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čiyōn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ohrmazd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frazām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pērōzīh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xwēš</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prv</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see.</w:t>
            </w:r>
            <w:r w:rsidDel="00000000" w:rsidR="00000000" w:rsidRPr="00000000">
              <w:rPr>
                <w:rFonts w:ascii="Times New Roman" w:cs="Times New Roman" w:eastAsia="Times New Roman" w:hAnsi="Times New Roman"/>
                <w:smallCaps w:val="1"/>
                <w:rtl w:val="0"/>
              </w:rPr>
              <w:t xml:space="preserve">pst.3sg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like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Ohrmazd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victory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w:t>
            </w:r>
          </w:p>
        </w:tc>
      </w:tr>
    </w:tbl>
    <w:p w:rsidR="00000000" w:rsidDel="00000000" w:rsidP="00000000" w:rsidRDefault="00000000" w:rsidRPr="00000000" w14:paraId="000001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he recognized (lit. saw) the destruction of the demons (and) his own inability as clearly as Ohrmazd (recognized) his own final victory.</w:t>
      </w:r>
    </w:p>
    <w:p w:rsidR="00000000" w:rsidDel="00000000" w:rsidP="00000000" w:rsidRDefault="00000000" w:rsidRPr="00000000" w14:paraId="00000175">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construction with </w:t>
      </w:r>
      <w:r w:rsidDel="00000000" w:rsidR="00000000" w:rsidRPr="00000000">
        <w:rPr>
          <w:rFonts w:ascii="Times New Roman" w:cs="Times New Roman" w:eastAsia="Times New Roman" w:hAnsi="Times New Roman"/>
          <w:i w:val="1"/>
          <w:iCs w:val="1"/>
          <w:rtl w:val="0"/>
        </w:rPr>
        <w:t xml:space="preserve">and ... čand</w:t>
      </w:r>
      <w:r w:rsidDel="00000000" w:rsidR="00000000" w:rsidRPr="00000000">
        <w:rPr>
          <w:rFonts w:ascii="Times New Roman" w:cs="Times New Roman" w:eastAsia="Times New Roman" w:hAnsi="Times New Roman"/>
          <w:rtl w:val="0"/>
        </w:rPr>
        <w:t xml:space="preserve"> is a more specific variant corresponding to the English ‘as much ... as’ or ‘to the extent that.’ In this structure, </w:t>
      </w:r>
      <w:r w:rsidDel="00000000" w:rsidR="00000000" w:rsidRPr="00000000">
        <w:rPr>
          <w:rFonts w:ascii="Times New Roman" w:cs="Times New Roman" w:eastAsia="Times New Roman" w:hAnsi="Times New Roman"/>
          <w:i w:val="1"/>
          <w:iCs w:val="1"/>
          <w:rtl w:val="0"/>
        </w:rPr>
        <w:t xml:space="preserve">and</w:t>
      </w:r>
      <w:r w:rsidDel="00000000" w:rsidR="00000000" w:rsidRPr="00000000">
        <w:rPr>
          <w:rFonts w:ascii="Times New Roman" w:cs="Times New Roman" w:eastAsia="Times New Roman" w:hAnsi="Times New Roman"/>
          <w:rtl w:val="0"/>
        </w:rPr>
        <w:t xml:space="preserve"> ‘so much, as much’ typically modifies a noun or concept in the main clause, while </w:t>
      </w:r>
      <w:r w:rsidDel="00000000" w:rsidR="00000000" w:rsidRPr="00000000">
        <w:rPr>
          <w:rFonts w:ascii="Times New Roman" w:cs="Times New Roman" w:eastAsia="Times New Roman" w:hAnsi="Times New Roman"/>
          <w:i w:val="1"/>
          <w:iCs w:val="1"/>
          <w:rtl w:val="0"/>
        </w:rPr>
        <w:t xml:space="preserve">čand</w:t>
      </w:r>
      <w:r w:rsidDel="00000000" w:rsidR="00000000" w:rsidRPr="00000000">
        <w:rPr>
          <w:rFonts w:ascii="Times New Roman" w:cs="Times New Roman" w:eastAsia="Times New Roman" w:hAnsi="Times New Roman"/>
          <w:rtl w:val="0"/>
        </w:rPr>
        <w:t xml:space="preserve"> introduces a subordinate clause that provides the standard of comparison. This construction establishes an equal measure between two quantities or states. In the following example, </w:t>
      </w:r>
      <w:r w:rsidDel="00000000" w:rsidR="00000000" w:rsidRPr="00000000">
        <w:rPr>
          <w:rFonts w:ascii="Times New Roman" w:cs="Times New Roman" w:eastAsia="Times New Roman" w:hAnsi="Times New Roman"/>
          <w:i w:val="1"/>
          <w:iCs w:val="1"/>
          <w:rtl w:val="0"/>
        </w:rPr>
        <w:t xml:space="preserve">and</w:t>
      </w:r>
      <w:r w:rsidDel="00000000" w:rsidR="00000000" w:rsidRPr="00000000">
        <w:rPr>
          <w:rFonts w:ascii="Times New Roman" w:cs="Times New Roman" w:eastAsia="Times New Roman" w:hAnsi="Times New Roman"/>
          <w:rtl w:val="0"/>
        </w:rPr>
        <w:t xml:space="preserve"> modifies the noun </w:t>
      </w:r>
      <w:r w:rsidDel="00000000" w:rsidR="00000000" w:rsidRPr="00000000">
        <w:rPr>
          <w:rFonts w:ascii="Times New Roman" w:cs="Times New Roman" w:eastAsia="Times New Roman" w:hAnsi="Times New Roman"/>
          <w:i w:val="1"/>
          <w:iCs w:val="1"/>
          <w:rtl w:val="0"/>
        </w:rPr>
        <w:t xml:space="preserve">wizārišn</w:t>
      </w:r>
      <w:r w:rsidDel="00000000" w:rsidR="00000000" w:rsidRPr="00000000">
        <w:rPr>
          <w:rFonts w:ascii="Times New Roman" w:cs="Times New Roman" w:eastAsia="Times New Roman" w:hAnsi="Times New Roman"/>
          <w:rtl w:val="0"/>
        </w:rPr>
        <w:t xml:space="preserve"> ‘repayment,’ and its amount is equated with the property quantified in the </w:t>
      </w:r>
      <w:r w:rsidDel="00000000" w:rsidR="00000000" w:rsidRPr="00000000">
        <w:rPr>
          <w:rFonts w:ascii="Times New Roman" w:cs="Times New Roman" w:eastAsia="Times New Roman" w:hAnsi="Times New Roman"/>
          <w:i w:val="1"/>
          <w:iCs w:val="1"/>
          <w:rtl w:val="0"/>
        </w:rPr>
        <w:t xml:space="preserve">čand</w:t>
      </w:r>
      <w:r w:rsidDel="00000000" w:rsidR="00000000" w:rsidRPr="00000000">
        <w:rPr>
          <w:rFonts w:ascii="Times New Roman" w:cs="Times New Roman" w:eastAsia="Times New Roman" w:hAnsi="Times New Roman"/>
          <w:rtl w:val="0"/>
        </w:rPr>
        <w:t xml:space="preserve">-clause.</w:t>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MHD-MHDC-01, 41.11</w:t>
      </w:r>
    </w:p>
    <w:tbl>
      <w:tblPr>
        <w:tblStyle w:val="Table2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275"/>
        <w:gridCol w:w="720"/>
        <w:gridCol w:w="990"/>
        <w:gridCol w:w="1380"/>
        <w:gridCol w:w="1095"/>
        <w:gridCol w:w="1365"/>
        <w:gridCol w:w="1635"/>
        <w:tblGridChange w:id="0">
          <w:tblGrid>
            <w:gridCol w:w="660"/>
            <w:gridCol w:w="1275"/>
            <w:gridCol w:w="720"/>
            <w:gridCol w:w="990"/>
            <w:gridCol w:w="1380"/>
            <w:gridCol w:w="1095"/>
            <w:gridCol w:w="1365"/>
            <w:gridCol w:w="163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=šān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wizārišn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čand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xwāstag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dārēd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=pron.3pl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 much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pay back.</w:t>
            </w:r>
            <w:r w:rsidDel="00000000" w:rsidR="00000000" w:rsidRPr="00000000">
              <w:rPr>
                <w:rFonts w:ascii="Times New Roman" w:cs="Times New Roman" w:eastAsia="Times New Roman" w:hAnsi="Times New Roman"/>
                <w:smallCaps w:val="1"/>
                <w:rtl w:val="0"/>
              </w:rPr>
              <w:t xml:space="preserve">nec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much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possession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have.</w:t>
            </w:r>
            <w:r w:rsidDel="00000000" w:rsidR="00000000" w:rsidRPr="00000000">
              <w:rPr>
                <w:rFonts w:ascii="Times New Roman" w:cs="Times New Roman" w:eastAsia="Times New Roman" w:hAnsi="Times New Roman"/>
                <w:smallCaps w:val="1"/>
                <w:rtl w:val="0"/>
              </w:rPr>
              <w:t xml:space="preserve">npst.3sg</w:t>
            </w:r>
          </w:p>
        </w:tc>
      </w:tr>
    </w:tbl>
    <w:p w:rsidR="00000000" w:rsidDel="00000000" w:rsidP="00000000" w:rsidRDefault="00000000" w:rsidRPr="00000000" w14:paraId="000001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they must as much repay it as he has possession.</w:t>
      </w:r>
    </w:p>
    <w:p w:rsidR="00000000" w:rsidDel="00000000" w:rsidP="00000000" w:rsidRDefault="00000000" w:rsidRPr="00000000" w14:paraId="00000188">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function of the construction changes when </w:t>
      </w:r>
      <w:r w:rsidDel="00000000" w:rsidR="00000000" w:rsidRPr="00000000">
        <w:rPr>
          <w:rFonts w:ascii="Times New Roman" w:cs="Times New Roman" w:eastAsia="Times New Roman" w:hAnsi="Times New Roman"/>
          <w:i w:val="1"/>
          <w:iCs w:val="1"/>
          <w:rtl w:val="0"/>
        </w:rPr>
        <w:t xml:space="preserve">and čand</w:t>
      </w:r>
      <w:r w:rsidDel="00000000" w:rsidR="00000000" w:rsidRPr="00000000">
        <w:rPr>
          <w:rFonts w:ascii="Times New Roman" w:cs="Times New Roman" w:eastAsia="Times New Roman" w:hAnsi="Times New Roman"/>
          <w:rtl w:val="0"/>
        </w:rPr>
        <w:t xml:space="preserve"> appears as a contiguous phrase, not syntactically tied to a specific noun in the main clause. In this case, its function changes from direct equation to defining proportion or sufficiency. It specifies that the quality in the main clause holds true </w:t>
      </w:r>
      <w:r w:rsidDel="00000000" w:rsidR="00000000" w:rsidRPr="00000000">
        <w:rPr>
          <w:rFonts w:ascii="Times New Roman" w:cs="Times New Roman" w:eastAsia="Times New Roman" w:hAnsi="Times New Roman"/>
          <w:i w:val="1"/>
          <w:iCs w:val="1"/>
          <w:rtl w:val="0"/>
        </w:rPr>
        <w:t xml:space="preserve">enough to</w:t>
      </w:r>
      <w:r w:rsidDel="00000000" w:rsidR="00000000" w:rsidRPr="00000000">
        <w:rPr>
          <w:rFonts w:ascii="Times New Roman" w:cs="Times New Roman" w:eastAsia="Times New Roman" w:hAnsi="Times New Roman"/>
          <w:rtl w:val="0"/>
        </w:rPr>
        <w:t xml:space="preserve"> achieve a certain result. In (15), </w:t>
      </w:r>
      <w:r w:rsidDel="00000000" w:rsidR="00000000" w:rsidRPr="00000000">
        <w:rPr>
          <w:rFonts w:ascii="Times New Roman" w:cs="Times New Roman" w:eastAsia="Times New Roman" w:hAnsi="Times New Roman"/>
          <w:i w:val="1"/>
          <w:iCs w:val="1"/>
          <w:rtl w:val="0"/>
        </w:rPr>
        <w:t xml:space="preserve">and čand</w:t>
      </w:r>
      <w:r w:rsidDel="00000000" w:rsidR="00000000" w:rsidRPr="00000000">
        <w:rPr>
          <w:rFonts w:ascii="Times New Roman" w:cs="Times New Roman" w:eastAsia="Times New Roman" w:hAnsi="Times New Roman"/>
          <w:rtl w:val="0"/>
        </w:rPr>
        <w:t xml:space="preserve"> does not equate the goodness of property with another quantity; instead, it specifies that the property is good </w:t>
      </w:r>
      <w:r w:rsidDel="00000000" w:rsidR="00000000" w:rsidRPr="00000000">
        <w:rPr>
          <w:rFonts w:ascii="Times New Roman" w:cs="Times New Roman" w:eastAsia="Times New Roman" w:hAnsi="Times New Roman"/>
          <w:i w:val="1"/>
          <w:iCs w:val="1"/>
          <w:rtl w:val="0"/>
        </w:rPr>
        <w:t xml:space="preserve">enough to</w:t>
      </w:r>
      <w:r w:rsidDel="00000000" w:rsidR="00000000" w:rsidRPr="00000000">
        <w:rPr>
          <w:rFonts w:ascii="Times New Roman" w:cs="Times New Roman" w:eastAsia="Times New Roman" w:hAnsi="Times New Roman"/>
          <w:rtl w:val="0"/>
        </w:rPr>
        <w:t xml:space="preserve"> perform the function of warding off misfortune.</w:t>
      </w:r>
    </w:p>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AOD-K20-01, 14.1</w:t>
      </w:r>
    </w:p>
    <w:tbl>
      <w:tblPr>
        <w:tblStyle w:val="Table2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260"/>
        <w:gridCol w:w="720"/>
        <w:gridCol w:w="1035"/>
        <w:gridCol w:w="735"/>
        <w:gridCol w:w="1260"/>
        <w:gridCol w:w="1035"/>
        <w:gridCol w:w="1155"/>
        <w:gridCol w:w="1095"/>
        <w:tblGridChange w:id="0">
          <w:tblGrid>
            <w:gridCol w:w="645"/>
            <w:gridCol w:w="1260"/>
            <w:gridCol w:w="720"/>
            <w:gridCol w:w="1035"/>
            <w:gridCol w:w="735"/>
            <w:gridCol w:w="1260"/>
            <w:gridCol w:w="1035"/>
            <w:gridCol w:w="1155"/>
            <w:gridCol w:w="1095"/>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xwāstag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=ī</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paymān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čand</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possession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=ez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moderation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 much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 much</w:t>
            </w:r>
          </w:p>
        </w:tc>
      </w:tr>
    </w:tbl>
    <w:p w:rsidR="00000000" w:rsidDel="00000000" w:rsidP="00000000" w:rsidRDefault="00000000" w:rsidRPr="00000000" w14:paraId="0000019C">
      <w:pPr>
        <w:spacing w:after="240" w:befor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 </w:t>
      </w:r>
    </w:p>
    <w:tbl>
      <w:tblPr>
        <w:tblStyle w:val="Table25"/>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05"/>
        <w:gridCol w:w="1230"/>
        <w:gridCol w:w="1230"/>
        <w:gridCol w:w="1230"/>
        <w:gridCol w:w="1230"/>
        <w:tblGridChange w:id="0">
          <w:tblGrid>
            <w:gridCol w:w="1380"/>
            <w:gridCol w:w="1305"/>
            <w:gridCol w:w="1230"/>
            <w:gridCol w:w="1230"/>
            <w:gridCol w:w="1230"/>
            <w:gridCol w:w="1230"/>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petyārag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abāz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dāštan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tuwān</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misfortune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hold.</w:t>
            </w:r>
            <w:r w:rsidDel="00000000" w:rsidR="00000000" w:rsidRPr="00000000">
              <w:rPr>
                <w:rFonts w:ascii="Times New Roman" w:cs="Times New Roman" w:eastAsia="Times New Roman" w:hAnsi="Times New Roman"/>
                <w:smallCaps w:val="1"/>
                <w:rtl w:val="0"/>
              </w:rPr>
              <w:t xml:space="preserve">inf</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able</w:t>
            </w:r>
          </w:p>
        </w:tc>
      </w:tr>
    </w:tbl>
    <w:p w:rsidR="00000000" w:rsidDel="00000000" w:rsidP="00000000" w:rsidRDefault="00000000" w:rsidRPr="00000000" w14:paraId="000001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possession is better in the amount of moderation, so much as it can keep misfortune away.</w:t>
      </w:r>
    </w:p>
    <w:p w:rsidR="00000000" w:rsidDel="00000000" w:rsidP="00000000" w:rsidRDefault="00000000" w:rsidRPr="00000000" w14:paraId="000001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XX.5 Proportional Comparison</w:t>
      </w:r>
    </w:p>
    <w:p w:rsidR="00000000" w:rsidDel="00000000" w:rsidP="00000000" w:rsidRDefault="00000000" w:rsidRPr="00000000" w14:paraId="000001A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proportional comparison correlates the degree of two different qualities or actions, and corresponds to the English "the more... the more..." or the German </w:t>
      </w:r>
      <w:r w:rsidDel="00000000" w:rsidR="00000000" w:rsidRPr="00000000">
        <w:rPr>
          <w:rFonts w:ascii="Times New Roman" w:cs="Times New Roman" w:eastAsia="Times New Roman" w:hAnsi="Times New Roman"/>
          <w:i w:val="1"/>
          <w:iCs w:val="1"/>
          <w:rtl w:val="0"/>
        </w:rPr>
        <w:t xml:space="preserve">je... desto...</w:t>
      </w:r>
      <w:r w:rsidDel="00000000" w:rsidR="00000000" w:rsidRPr="00000000">
        <w:rPr>
          <w:rFonts w:ascii="Times New Roman" w:cs="Times New Roman" w:eastAsia="Times New Roman" w:hAnsi="Times New Roman"/>
          <w:rtl w:val="0"/>
        </w:rPr>
        <w:t xml:space="preserve"> construction. It is typically expressed using the correlative pair </w:t>
      </w:r>
      <w:r w:rsidDel="00000000" w:rsidR="00000000" w:rsidRPr="00000000">
        <w:rPr>
          <w:rFonts w:ascii="Times New Roman" w:cs="Times New Roman" w:eastAsia="Times New Roman" w:hAnsi="Times New Roman"/>
          <w:i w:val="1"/>
          <w:iCs w:val="1"/>
          <w:rtl w:val="0"/>
        </w:rPr>
        <w:t xml:space="preserve">čand ... ēg</w:t>
      </w:r>
      <w:r w:rsidDel="00000000" w:rsidR="00000000" w:rsidRPr="00000000">
        <w:rPr>
          <w:rFonts w:ascii="Times New Roman" w:cs="Times New Roman" w:eastAsia="Times New Roman" w:hAnsi="Times New Roman"/>
          <w:rtl w:val="0"/>
        </w:rPr>
        <w:t xml:space="preserve">…, where each particle is followed by a comparative form. The structure is as follows:</w:t>
      </w:r>
    </w:p>
    <w:p w:rsidR="00000000" w:rsidDel="00000000" w:rsidP="00000000" w:rsidRDefault="00000000" w:rsidRPr="00000000" w14:paraId="000001AC">
      <w:pPr>
        <w:spacing w:after="24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čand</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sz w:val="20"/>
          <w:szCs w:val="20"/>
          <w:rtl w:val="0"/>
        </w:rPr>
        <w:t xml:space="preserve">[Comparative 1], </w:t>
      </w:r>
      <w:r w:rsidDel="00000000" w:rsidR="00000000" w:rsidRPr="00000000">
        <w:rPr>
          <w:rFonts w:ascii="Courier New" w:cs="Courier New" w:eastAsia="Courier New" w:hAnsi="Courier New"/>
          <w:i w:val="1"/>
          <w:iCs w:val="1"/>
          <w:sz w:val="20"/>
          <w:szCs w:val="20"/>
          <w:rtl w:val="0"/>
        </w:rPr>
        <w:t xml:space="preserve">ēg</w:t>
      </w:r>
      <w:r w:rsidDel="00000000" w:rsidR="00000000" w:rsidRPr="00000000">
        <w:rPr>
          <w:rFonts w:ascii="Courier New" w:cs="Courier New" w:eastAsia="Courier New" w:hAnsi="Courier New"/>
          <w:sz w:val="20"/>
          <w:szCs w:val="20"/>
          <w:rtl w:val="0"/>
        </w:rPr>
        <w:t xml:space="preserve"> + [Comparative 2]</w:t>
      </w:r>
    </w:p>
    <w:p w:rsidR="00000000" w:rsidDel="00000000" w:rsidP="00000000" w:rsidRDefault="00000000" w:rsidRPr="00000000" w14:paraId="000001AD">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18, the construction </w:t>
      </w:r>
      <w:r w:rsidDel="00000000" w:rsidR="00000000" w:rsidRPr="00000000">
        <w:rPr>
          <w:rFonts w:ascii="Times New Roman" w:cs="Times New Roman" w:eastAsia="Times New Roman" w:hAnsi="Times New Roman"/>
          <w:i w:val="1"/>
          <w:iCs w:val="1"/>
          <w:rtl w:val="0"/>
        </w:rPr>
        <w:t xml:space="preserve">čand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tuxšāgīhātar</w:t>
      </w:r>
      <w:r w:rsidDel="00000000" w:rsidR="00000000" w:rsidRPr="00000000">
        <w:rPr>
          <w:rFonts w:ascii="Times New Roman" w:cs="Times New Roman" w:eastAsia="Times New Roman" w:hAnsi="Times New Roman"/>
          <w:rtl w:val="0"/>
        </w:rPr>
        <w:t xml:space="preserve"> ‘the more diligently’ establishes the first part of the proportion. The second part, </w:t>
      </w:r>
      <w:r w:rsidDel="00000000" w:rsidR="00000000" w:rsidRPr="00000000">
        <w:rPr>
          <w:rFonts w:ascii="Times New Roman" w:cs="Times New Roman" w:eastAsia="Times New Roman" w:hAnsi="Times New Roman"/>
          <w:i w:val="1"/>
          <w:iCs w:val="1"/>
          <w:rtl w:val="0"/>
        </w:rPr>
        <w:t xml:space="preserve">ēg ... dūrtar</w:t>
      </w:r>
      <w:r w:rsidDel="00000000" w:rsidR="00000000" w:rsidRPr="00000000">
        <w:rPr>
          <w:rFonts w:ascii="Times New Roman" w:cs="Times New Roman" w:eastAsia="Times New Roman" w:hAnsi="Times New Roman"/>
          <w:rtl w:val="0"/>
        </w:rPr>
        <w:t xml:space="preserve"> ‘the farther,’ shows the correlated result. A locative prepositional phrase (</w:t>
      </w:r>
      <w:r w:rsidDel="00000000" w:rsidR="00000000" w:rsidRPr="00000000">
        <w:rPr>
          <w:rFonts w:ascii="Times New Roman" w:cs="Times New Roman" w:eastAsia="Times New Roman" w:hAnsi="Times New Roman"/>
          <w:i w:val="1"/>
          <w:iCs w:val="1"/>
          <w:rtl w:val="0"/>
        </w:rPr>
        <w:t xml:space="preserve">az xān</w:t>
      </w:r>
      <w:r w:rsidDel="00000000" w:rsidR="00000000" w:rsidRPr="00000000">
        <w:rPr>
          <w:rFonts w:ascii="Times New Roman" w:cs="Times New Roman" w:eastAsia="Times New Roman" w:hAnsi="Times New Roman"/>
          <w:rtl w:val="0"/>
        </w:rPr>
        <w:t xml:space="preserve"> ‘from house’) appears between </w:t>
      </w:r>
      <w:r w:rsidDel="00000000" w:rsidR="00000000" w:rsidRPr="00000000">
        <w:rPr>
          <w:rFonts w:ascii="Times New Roman" w:cs="Times New Roman" w:eastAsia="Times New Roman" w:hAnsi="Times New Roman"/>
          <w:i w:val="1"/>
          <w:iCs w:val="1"/>
          <w:rtl w:val="0"/>
        </w:rPr>
        <w:t xml:space="preserve">ēg</w:t>
      </w:r>
      <w:r w:rsidDel="00000000" w:rsidR="00000000" w:rsidRPr="00000000">
        <w:rPr>
          <w:rFonts w:ascii="Times New Roman" w:cs="Times New Roman" w:eastAsia="Times New Roman" w:hAnsi="Times New Roman"/>
          <w:rtl w:val="0"/>
        </w:rPr>
        <w:t xml:space="preserve"> ‘then’ and the comparative </w:t>
      </w:r>
      <w:r w:rsidDel="00000000" w:rsidR="00000000" w:rsidRPr="00000000">
        <w:rPr>
          <w:rFonts w:ascii="Times New Roman" w:cs="Times New Roman" w:eastAsia="Times New Roman" w:hAnsi="Times New Roman"/>
          <w:i w:val="1"/>
          <w:iCs w:val="1"/>
          <w:rtl w:val="0"/>
        </w:rPr>
        <w:t xml:space="preserve">dūrtar</w:t>
      </w:r>
      <w:r w:rsidDel="00000000" w:rsidR="00000000" w:rsidRPr="00000000">
        <w:rPr>
          <w:rFonts w:ascii="Times New Roman" w:cs="Times New Roman" w:eastAsia="Times New Roman" w:hAnsi="Times New Roman"/>
          <w:rtl w:val="0"/>
        </w:rPr>
        <w:t xml:space="preserve"> ‘more distant.’</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Dk6-B-01, 173</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945"/>
        <w:gridCol w:w="1095"/>
        <w:gridCol w:w="1935"/>
        <w:gridCol w:w="780"/>
        <w:gridCol w:w="705"/>
        <w:gridCol w:w="1170"/>
        <w:gridCol w:w="1605"/>
        <w:tblGridChange w:id="0">
          <w:tblGrid>
            <w:gridCol w:w="690"/>
            <w:gridCol w:w="945"/>
            <w:gridCol w:w="1095"/>
            <w:gridCol w:w="1935"/>
            <w:gridCol w:w="780"/>
            <w:gridCol w:w="705"/>
            <w:gridCol w:w="1170"/>
            <w:gridCol w:w="160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čē</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čand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tuxšāgīhātar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ēg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ō</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xān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dūrtar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more diligently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more distant</w:t>
            </w:r>
          </w:p>
        </w:tc>
      </w:tr>
    </w:tbl>
    <w:p w:rsidR="00000000" w:rsidDel="00000000" w:rsidP="00000000" w:rsidRDefault="00000000" w:rsidRPr="00000000" w14:paraId="000001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(Unfortunate is the man who walks on a pathless path,) since the more diligently (he goes), the farther (he will be) from the house.</w:t>
      </w:r>
    </w:p>
    <w:p w:rsidR="00000000" w:rsidDel="00000000" w:rsidP="00000000" w:rsidRDefault="00000000" w:rsidRPr="00000000" w14:paraId="000001C0">
      <w:pPr>
        <w:spacing w:after="240" w:before="24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w:t>
      </w:r>
      <w:r w:rsidDel="00000000" w:rsidR="00000000" w:rsidRPr="00000000">
        <w:rPr>
          <w:rFonts w:ascii="Times New Roman" w:cs="Times New Roman" w:eastAsia="Times New Roman" w:hAnsi="Times New Roman"/>
          <w:i w:val="1"/>
          <w:iCs w:val="1"/>
          <w:rtl w:val="0"/>
        </w:rPr>
        <w:t xml:space="preserve">čand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ēg</w:t>
      </w:r>
      <w:r w:rsidDel="00000000" w:rsidR="00000000" w:rsidRPr="00000000">
        <w:rPr>
          <w:rFonts w:ascii="Times New Roman" w:cs="Times New Roman" w:eastAsia="Times New Roman" w:hAnsi="Times New Roman"/>
          <w:rtl w:val="0"/>
        </w:rPr>
        <w:t xml:space="preserve"> are optional and can be omitted, with the proportional meaning being inferred from the parallel structure of the two comparative phrases. The following example demonstrates the full construction:</w:t>
      </w:r>
    </w:p>
    <w:p w:rsidR="00000000" w:rsidDel="00000000" w:rsidP="00000000" w:rsidRDefault="00000000" w:rsidRPr="00000000" w14:paraId="000001C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XX.6 Summary</w:t>
      </w:r>
    </w:p>
    <w:p w:rsidR="00000000" w:rsidDel="00000000" w:rsidP="00000000" w:rsidRDefault="00000000" w:rsidRPr="00000000" w14:paraId="000001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distinct syntactic properties of the primary comparative constructions are summarized below.</w:t>
      </w:r>
    </w:p>
    <w:p w:rsidR="00000000" w:rsidDel="00000000" w:rsidP="00000000" w:rsidRDefault="00000000" w:rsidRPr="00000000" w14:paraId="000001C3">
      <w:pPr>
        <w:spacing w:after="240" w:before="240" w:lineRule="auto"/>
        <w:rPr>
          <w:rFonts w:ascii="Times New Roman" w:cs="Times New Roman" w:eastAsia="Times New Roman" w:hAnsi="Times New Roman"/>
        </w:rPr>
      </w:pPr>
      <w:r w:rsidDel="00000000" w:rsidR="00000000" w:rsidRPr="00000000">
        <w:rPr>
          <w:rtl w:val="0"/>
        </w:rPr>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950"/>
        <w:gridCol w:w="2835"/>
        <w:gridCol w:w="2415"/>
        <w:tblGridChange w:id="0">
          <w:tblGrid>
            <w:gridCol w:w="1710"/>
            <w:gridCol w:w="1950"/>
            <w:gridCol w:w="2835"/>
            <w:gridCol w:w="2415"/>
          </w:tblGrid>
        </w:tblGridChange>
      </w:tblGrid>
      <w:tr>
        <w:trPr>
          <w:cantSplit w:val="0"/>
          <w:trHeight w:val="720" w:hRule="atLeast"/>
          <w:tblHeader w:val="0"/>
        </w:trPr>
        <w:tc>
          <w:tcPr>
            <w:tcBorders>
              <w:top w:color="ffffff" w:space="0" w:sz="5" w:val="single"/>
              <w:left w:color="ffffff" w:space="0" w:sz="5" w:val="single"/>
              <w:bottom w:color="ffffff" w:space="0" w:sz="5" w:val="single"/>
              <w:right w:color="000000" w:space="0" w:sz="0" w:val="nil"/>
            </w:tcBorders>
            <w:shd w:fill="196b24" w:val="clear"/>
            <w:tcMar>
              <w:top w:w="0.0" w:type="dxa"/>
              <w:left w:w="100.0" w:type="dxa"/>
              <w:bottom w:w="0.0" w:type="dxa"/>
              <w:right w:w="100.0" w:type="dxa"/>
            </w:tcMar>
            <w:vAlign w:val="top"/>
          </w:tcPr>
          <w:p w:rsidR="00000000" w:rsidDel="00000000" w:rsidP="00000000" w:rsidRDefault="00000000" w:rsidRPr="00000000" w14:paraId="000001C4">
            <w:pPr>
              <w:spacing w:after="160" w:before="24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Type</w:t>
            </w:r>
          </w:p>
        </w:tc>
        <w:tc>
          <w:tcPr>
            <w:tcBorders>
              <w:top w:color="ffffff" w:space="0" w:sz="5" w:val="single"/>
              <w:left w:color="000000" w:space="0" w:sz="0" w:val="nil"/>
              <w:bottom w:color="ffffff" w:space="0" w:sz="5" w:val="single"/>
              <w:right w:color="000000" w:space="0" w:sz="0" w:val="nil"/>
            </w:tcBorders>
            <w:shd w:fill="196b24" w:val="clear"/>
            <w:tcMar>
              <w:top w:w="0.0" w:type="dxa"/>
              <w:left w:w="100.0" w:type="dxa"/>
              <w:bottom w:w="0.0" w:type="dxa"/>
              <w:right w:w="100.0" w:type="dxa"/>
            </w:tcMar>
            <w:vAlign w:val="top"/>
          </w:tcPr>
          <w:p w:rsidR="00000000" w:rsidDel="00000000" w:rsidP="00000000" w:rsidRDefault="00000000" w:rsidRPr="00000000" w14:paraId="000001C5">
            <w:pPr>
              <w:spacing w:after="160" w:before="24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Construction / Marker(s)</w:t>
            </w:r>
          </w:p>
        </w:tc>
        <w:tc>
          <w:tcPr>
            <w:tcBorders>
              <w:top w:color="ffffff" w:space="0" w:sz="5" w:val="single"/>
              <w:left w:color="000000" w:space="0" w:sz="0" w:val="nil"/>
              <w:bottom w:color="ffffff" w:space="0" w:sz="5" w:val="single"/>
              <w:right w:color="000000" w:space="0" w:sz="0" w:val="nil"/>
            </w:tcBorders>
            <w:shd w:fill="196b24" w:val="clear"/>
            <w:tcMar>
              <w:top w:w="0.0" w:type="dxa"/>
              <w:left w:w="100.0" w:type="dxa"/>
              <w:bottom w:w="0.0" w:type="dxa"/>
              <w:right w:w="100.0" w:type="dxa"/>
            </w:tcMar>
            <w:vAlign w:val="top"/>
          </w:tcPr>
          <w:p w:rsidR="00000000" w:rsidDel="00000000" w:rsidP="00000000" w:rsidRDefault="00000000" w:rsidRPr="00000000" w14:paraId="000001C6">
            <w:pPr>
              <w:spacing w:after="160" w:before="24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Function &amp; Meaning</w:t>
            </w:r>
          </w:p>
        </w:tc>
        <w:tc>
          <w:tcPr>
            <w:tcBorders>
              <w:top w:color="ffffff" w:space="0" w:sz="5" w:val="single"/>
              <w:left w:color="000000" w:space="0" w:sz="0" w:val="nil"/>
              <w:bottom w:color="ffffff" w:space="0" w:sz="5" w:val="single"/>
              <w:right w:color="ffffff" w:space="0" w:sz="5" w:val="single"/>
            </w:tcBorders>
            <w:shd w:fill="196b24" w:val="clear"/>
            <w:tcMar>
              <w:top w:w="0.0" w:type="dxa"/>
              <w:left w:w="100.0" w:type="dxa"/>
              <w:bottom w:w="0.0" w:type="dxa"/>
              <w:right w:w="100.0" w:type="dxa"/>
            </w:tcMar>
            <w:vAlign w:val="top"/>
          </w:tcPr>
          <w:p w:rsidR="00000000" w:rsidDel="00000000" w:rsidP="00000000" w:rsidRDefault="00000000" w:rsidRPr="00000000" w14:paraId="000001C7">
            <w:pPr>
              <w:spacing w:after="160" w:before="24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Structure / Pattern</w:t>
            </w:r>
          </w:p>
        </w:tc>
      </w:tr>
      <w:tr>
        <w:trPr>
          <w:cantSplit w:val="0"/>
          <w:trHeight w:val="1755" w:hRule="atLeast"/>
          <w:tblHeader w:val="0"/>
        </w:trPr>
        <w:tc>
          <w:tcPr>
            <w:vMerge w:val="restart"/>
            <w:tcBorders>
              <w:top w:color="000000" w:space="0" w:sz="0" w:val="nil"/>
              <w:left w:color="ffffff" w:space="0" w:sz="5" w:val="single"/>
              <w:bottom w:color="ffffff" w:space="0" w:sz="5" w:val="single"/>
              <w:right w:color="ffffff" w:space="0" w:sz="5" w:val="single"/>
            </w:tcBorders>
            <w:shd w:fill="196b24" w:val="clear"/>
            <w:tcMar>
              <w:top w:w="0.0" w:type="dxa"/>
              <w:left w:w="100.0" w:type="dxa"/>
              <w:bottom w:w="0.0" w:type="dxa"/>
              <w:right w:w="100.0" w:type="dxa"/>
            </w:tcMar>
            <w:vAlign w:val="top"/>
          </w:tcPr>
          <w:p w:rsidR="00000000" w:rsidDel="00000000" w:rsidP="00000000" w:rsidRDefault="00000000" w:rsidRPr="00000000" w14:paraId="000001C8">
            <w:pPr>
              <w:spacing w:after="160" w:before="24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Comparative</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C9">
            <w:pPr>
              <w:spacing w:after="16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az</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CA">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Phrasal comparison (“than”)</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CB">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Flexible order:</w:t>
            </w:r>
          </w:p>
          <w:p w:rsidR="00000000" w:rsidDel="00000000" w:rsidP="00000000" w:rsidRDefault="00000000" w:rsidRPr="00000000" w14:paraId="000001CC">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 </w:t>
            </w:r>
            <w:r w:rsidDel="00000000" w:rsidR="00000000" w:rsidRPr="00000000">
              <w:rPr>
                <w:rFonts w:ascii="Times New Roman" w:cs="Times New Roman" w:eastAsia="Times New Roman" w:hAnsi="Times New Roman"/>
                <w:i w:val="1"/>
                <w:iCs w:val="1"/>
                <w:rtl w:val="0"/>
              </w:rPr>
              <w:t xml:space="preserve">az</w:t>
            </w:r>
            <w:r w:rsidDel="00000000" w:rsidR="00000000" w:rsidRPr="00000000">
              <w:rPr>
                <w:rFonts w:ascii="Times New Roman" w:cs="Times New Roman" w:eastAsia="Times New Roman" w:hAnsi="Times New Roman"/>
                <w:rtl w:val="0"/>
              </w:rPr>
              <w:t xml:space="preserve"> [Std] [Adj]</w:t>
            </w:r>
          </w:p>
          <w:p w:rsidR="00000000" w:rsidDel="00000000" w:rsidP="00000000" w:rsidRDefault="00000000" w:rsidRPr="00000000" w14:paraId="000001CD">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[Subj] [Adj] </w:t>
            </w:r>
            <w:r w:rsidDel="00000000" w:rsidR="00000000" w:rsidRPr="00000000">
              <w:rPr>
                <w:rFonts w:ascii="Times New Roman" w:cs="Times New Roman" w:eastAsia="Times New Roman" w:hAnsi="Times New Roman"/>
                <w:i w:val="1"/>
                <w:iCs w:val="1"/>
                <w:rtl w:val="0"/>
              </w:rPr>
              <w:t xml:space="preserve">az</w:t>
            </w:r>
            <w:r w:rsidDel="00000000" w:rsidR="00000000" w:rsidRPr="00000000">
              <w:rPr>
                <w:rFonts w:ascii="Times New Roman" w:cs="Times New Roman" w:eastAsia="Times New Roman" w:hAnsi="Times New Roman"/>
                <w:rtl w:val="0"/>
              </w:rPr>
              <w:t xml:space="preserve"> [Std]</w:t>
            </w:r>
          </w:p>
        </w:tc>
      </w:tr>
      <w:tr>
        <w:trPr>
          <w:cantSplit w:val="0"/>
          <w:trHeight w:val="720" w:hRule="atLeast"/>
          <w:tblHeader w:val="0"/>
        </w:trPr>
        <w:tc>
          <w:tcPr>
            <w:vMerge w:val="continue"/>
            <w:tcBorders>
              <w:top w:color="000000" w:space="0" w:sz="0" w:val="nil"/>
              <w:left w:color="ffffff" w:space="0" w:sz="5" w:val="single"/>
              <w:bottom w:color="ffffff" w:space="0" w:sz="5" w:val="single"/>
              <w:right w:color="ffffff" w:space="0" w:sz="5" w:val="single"/>
            </w:tcBorders>
            <w:shd w:fill="196b24" w:val="clear"/>
            <w:tcMar>
              <w:top w:w="0.0" w:type="dxa"/>
              <w:left w:w="100.0" w:type="dxa"/>
              <w:bottom w:w="0.0" w:type="dxa"/>
              <w:right w:w="100.0" w:type="dxa"/>
            </w:tcMar>
            <w:vAlign w:val="top"/>
          </w:tcPr>
          <w:p w:rsidR="00000000" w:rsidDel="00000000" w:rsidP="00000000" w:rsidRDefault="00000000" w:rsidRPr="00000000" w14:paraId="000001CE">
            <w:pPr>
              <w:spacing w:after="0" w:before="0" w:line="240" w:lineRule="auto"/>
              <w:ind w:left="0" w:firstLine="0"/>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CF">
            <w:pPr>
              <w:spacing w:after="16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kū</w:t>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D0">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Clausal comparison (‘than’)</w:t>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D1">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order: [Adj] </w:t>
            </w:r>
            <w:r w:rsidDel="00000000" w:rsidR="00000000" w:rsidRPr="00000000">
              <w:rPr>
                <w:rFonts w:ascii="Times New Roman" w:cs="Times New Roman" w:eastAsia="Times New Roman" w:hAnsi="Times New Roman"/>
                <w:i w:val="1"/>
                <w:iCs w:val="1"/>
                <w:rtl w:val="0"/>
              </w:rPr>
              <w:t xml:space="preserve">kū</w:t>
            </w:r>
            <w:r w:rsidDel="00000000" w:rsidR="00000000" w:rsidRPr="00000000">
              <w:rPr>
                <w:rFonts w:ascii="Times New Roman" w:cs="Times New Roman" w:eastAsia="Times New Roman" w:hAnsi="Times New Roman"/>
                <w:rtl w:val="0"/>
              </w:rPr>
              <w:t xml:space="preserve"> [Standard Clause]</w:t>
            </w:r>
          </w:p>
        </w:tc>
      </w:tr>
      <w:tr>
        <w:trPr>
          <w:cantSplit w:val="0"/>
          <w:trHeight w:val="720" w:hRule="atLeast"/>
          <w:tblHeader w:val="0"/>
        </w:trPr>
        <w:tc>
          <w:tcPr>
            <w:vMerge w:val="restart"/>
            <w:tcBorders>
              <w:top w:color="000000" w:space="0" w:sz="0" w:val="nil"/>
              <w:left w:color="ffffff" w:space="0" w:sz="5" w:val="single"/>
              <w:bottom w:color="ffffff" w:space="0" w:sz="5" w:val="single"/>
              <w:right w:color="ffffff" w:space="0" w:sz="5" w:val="single"/>
            </w:tcBorders>
            <w:shd w:fill="196b24" w:val="clear"/>
            <w:tcMar>
              <w:top w:w="0.0" w:type="dxa"/>
              <w:left w:w="100.0" w:type="dxa"/>
              <w:bottom w:w="0.0" w:type="dxa"/>
              <w:right w:w="100.0" w:type="dxa"/>
            </w:tcMar>
            <w:vAlign w:val="top"/>
          </w:tcPr>
          <w:p w:rsidR="00000000" w:rsidDel="00000000" w:rsidP="00000000" w:rsidRDefault="00000000" w:rsidRPr="00000000" w14:paraId="000001D2">
            <w:pPr>
              <w:spacing w:after="160" w:before="24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Superlative</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D3">
            <w:pPr>
              <w:spacing w:after="16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Suffix -</w:t>
            </w:r>
            <w:r w:rsidDel="00000000" w:rsidR="00000000" w:rsidRPr="00000000">
              <w:rPr>
                <w:rFonts w:ascii="Times New Roman" w:cs="Times New Roman" w:eastAsia="Times New Roman" w:hAnsi="Times New Roman"/>
                <w:i w:val="1"/>
                <w:iCs w:val="1"/>
                <w:rtl w:val="0"/>
              </w:rPr>
              <w:t xml:space="preserve">tom</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D4">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Absolute superlative (no explicit group)</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D5">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[Superlative Adj] [Noun]</w:t>
            </w:r>
          </w:p>
        </w:tc>
      </w:tr>
      <w:tr>
        <w:trPr>
          <w:cantSplit w:val="0"/>
          <w:trHeight w:val="1515" w:hRule="atLeast"/>
          <w:tblHeader w:val="0"/>
        </w:trPr>
        <w:tc>
          <w:tcPr>
            <w:vMerge w:val="continue"/>
            <w:tcBorders>
              <w:top w:color="000000" w:space="0" w:sz="0" w:val="nil"/>
              <w:left w:color="ffffff" w:space="0" w:sz="5" w:val="single"/>
              <w:bottom w:color="ffffff" w:space="0" w:sz="5" w:val="single"/>
              <w:right w:color="ffffff" w:space="0" w:sz="5" w:val="single"/>
            </w:tcBorders>
            <w:shd w:fill="196b24" w:val="clear"/>
            <w:tcMar>
              <w:top w:w="0.0" w:type="dxa"/>
              <w:left w:w="100.0" w:type="dxa"/>
              <w:bottom w:w="0.0" w:type="dxa"/>
              <w:right w:w="100.0" w:type="dxa"/>
            </w:tcMar>
            <w:vAlign w:val="top"/>
          </w:tcPr>
          <w:p w:rsidR="00000000" w:rsidDel="00000000" w:rsidP="00000000" w:rsidRDefault="00000000" w:rsidRPr="00000000" w14:paraId="000001D6">
            <w:pPr>
              <w:spacing w:after="0" w:before="0" w:line="240" w:lineRule="auto"/>
              <w:ind w:left="0" w:firstLine="0"/>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D7">
            <w:pPr>
              <w:spacing w:after="16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-tom + az</w:t>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D8">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Relative superlative (‘...of the group’)</w:t>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D9">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[Superlative Adj] </w:t>
            </w:r>
            <w:r w:rsidDel="00000000" w:rsidR="00000000" w:rsidRPr="00000000">
              <w:rPr>
                <w:rFonts w:ascii="Times New Roman" w:cs="Times New Roman" w:eastAsia="Times New Roman" w:hAnsi="Times New Roman"/>
                <w:i w:val="1"/>
                <w:iCs w:val="1"/>
                <w:rtl w:val="0"/>
              </w:rPr>
              <w:t xml:space="preserve">az</w:t>
            </w:r>
            <w:r w:rsidDel="00000000" w:rsidR="00000000" w:rsidRPr="00000000">
              <w:rPr>
                <w:rFonts w:ascii="Times New Roman" w:cs="Times New Roman" w:eastAsia="Times New Roman" w:hAnsi="Times New Roman"/>
                <w:rtl w:val="0"/>
              </w:rPr>
              <w:t xml:space="preserve"> [Group]</w:t>
            </w:r>
          </w:p>
          <w:p w:rsidR="00000000" w:rsidDel="00000000" w:rsidP="00000000" w:rsidRDefault="00000000" w:rsidRPr="00000000" w14:paraId="000001DA">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w:t>
            </w:r>
            <w:r w:rsidDel="00000000" w:rsidR="00000000" w:rsidRPr="00000000">
              <w:rPr>
                <w:rFonts w:ascii="Times New Roman" w:cs="Times New Roman" w:eastAsia="Times New Roman" w:hAnsi="Times New Roman"/>
                <w:i w:val="1"/>
                <w:iCs w:val="1"/>
                <w:rtl w:val="0"/>
              </w:rPr>
              <w:t xml:space="preserve">az</w:t>
            </w:r>
            <w:r w:rsidDel="00000000" w:rsidR="00000000" w:rsidRPr="00000000">
              <w:rPr>
                <w:rFonts w:ascii="Times New Roman" w:cs="Times New Roman" w:eastAsia="Times New Roman" w:hAnsi="Times New Roman"/>
                <w:rtl w:val="0"/>
              </w:rPr>
              <w:t xml:space="preserve"> [Group] [Superlative Adj]</w:t>
            </w:r>
          </w:p>
        </w:tc>
      </w:tr>
      <w:tr>
        <w:trPr>
          <w:cantSplit w:val="0"/>
          <w:trHeight w:val="1005" w:hRule="atLeast"/>
          <w:tblHeader w:val="0"/>
        </w:trPr>
        <w:tc>
          <w:tcPr>
            <w:vMerge w:val="continue"/>
            <w:tcBorders>
              <w:top w:color="000000" w:space="0" w:sz="0" w:val="nil"/>
              <w:left w:color="ffffff" w:space="0" w:sz="5" w:val="single"/>
              <w:bottom w:color="ffffff" w:space="0" w:sz="5" w:val="single"/>
              <w:right w:color="ffffff" w:space="0" w:sz="5" w:val="single"/>
            </w:tcBorders>
            <w:shd w:fill="196b24" w:val="clear"/>
            <w:tcMar>
              <w:top w:w="0.0" w:type="dxa"/>
              <w:left w:w="100.0" w:type="dxa"/>
              <w:bottom w:w="0.0" w:type="dxa"/>
              <w:right w:w="100.0" w:type="dxa"/>
            </w:tcMar>
            <w:vAlign w:val="top"/>
          </w:tcPr>
          <w:p w:rsidR="00000000" w:rsidDel="00000000" w:rsidP="00000000" w:rsidRDefault="00000000" w:rsidRPr="00000000" w14:paraId="000001DB">
            <w:pPr>
              <w:spacing w:after="0" w:before="0" w:line="240" w:lineRule="auto"/>
              <w:ind w:left="0" w:firstLine="0"/>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DC">
            <w:pPr>
              <w:spacing w:after="16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az harw...</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DD">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form with superlative meaning (‘of all...’)</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DE">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az harw</w:t>
            </w:r>
            <w:r w:rsidDel="00000000" w:rsidR="00000000" w:rsidRPr="00000000">
              <w:rPr>
                <w:rFonts w:ascii="Times New Roman" w:cs="Times New Roman" w:eastAsia="Times New Roman" w:hAnsi="Times New Roman"/>
                <w:rtl w:val="0"/>
              </w:rPr>
              <w:t xml:space="preserve"> [Noun] [Comparative Adj]</w:t>
            </w:r>
          </w:p>
        </w:tc>
      </w:tr>
      <w:tr>
        <w:trPr>
          <w:cantSplit w:val="0"/>
          <w:trHeight w:val="720" w:hRule="atLeast"/>
          <w:tblHeader w:val="0"/>
        </w:trPr>
        <w:tc>
          <w:tcPr>
            <w:vMerge w:val="restart"/>
            <w:tcBorders>
              <w:top w:color="000000" w:space="0" w:sz="0" w:val="nil"/>
              <w:left w:color="ffffff" w:space="0" w:sz="5" w:val="single"/>
              <w:bottom w:color="ffffff" w:space="0" w:sz="5" w:val="single"/>
              <w:right w:color="ffffff" w:space="0" w:sz="5" w:val="single"/>
            </w:tcBorders>
            <w:shd w:fill="196b24" w:val="clear"/>
            <w:tcMar>
              <w:top w:w="0.0" w:type="dxa"/>
              <w:left w:w="100.0" w:type="dxa"/>
              <w:bottom w:w="0.0" w:type="dxa"/>
              <w:right w:w="100.0" w:type="dxa"/>
            </w:tcMar>
            <w:vAlign w:val="top"/>
          </w:tcPr>
          <w:p w:rsidR="00000000" w:rsidDel="00000000" w:rsidP="00000000" w:rsidRDefault="00000000" w:rsidRPr="00000000" w14:paraId="000001DF">
            <w:pPr>
              <w:spacing w:after="160" w:before="24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Equative</w:t>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E0">
            <w:pPr>
              <w:spacing w:after="16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ōwōn/ēdōn ... čiyōn</w:t>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E1">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Compares manner/state (‘so... as’)</w:t>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E2">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ōwōn/ēdōn</w:t>
            </w:r>
            <w:r w:rsidDel="00000000" w:rsidR="00000000" w:rsidRPr="00000000">
              <w:rPr>
                <w:rFonts w:ascii="Times New Roman" w:cs="Times New Roman" w:eastAsia="Times New Roman" w:hAnsi="Times New Roman"/>
                <w:rtl w:val="0"/>
              </w:rPr>
              <w:t xml:space="preserve"> [Adj] ... </w:t>
            </w:r>
            <w:r w:rsidDel="00000000" w:rsidR="00000000" w:rsidRPr="00000000">
              <w:rPr>
                <w:rFonts w:ascii="Times New Roman" w:cs="Times New Roman" w:eastAsia="Times New Roman" w:hAnsi="Times New Roman"/>
                <w:i w:val="1"/>
                <w:iCs w:val="1"/>
                <w:rtl w:val="0"/>
              </w:rPr>
              <w:t xml:space="preserve">čiyōn</w:t>
            </w:r>
            <w:r w:rsidDel="00000000" w:rsidR="00000000" w:rsidRPr="00000000">
              <w:rPr>
                <w:rFonts w:ascii="Times New Roman" w:cs="Times New Roman" w:eastAsia="Times New Roman" w:hAnsi="Times New Roman"/>
                <w:rtl w:val="0"/>
              </w:rPr>
              <w:t xml:space="preserve"> [Standard]</w:t>
            </w:r>
          </w:p>
        </w:tc>
      </w:tr>
      <w:tr>
        <w:trPr>
          <w:cantSplit w:val="0"/>
          <w:trHeight w:val="720" w:hRule="atLeast"/>
          <w:tblHeader w:val="0"/>
        </w:trPr>
        <w:tc>
          <w:tcPr>
            <w:vMerge w:val="continue"/>
            <w:tcBorders>
              <w:top w:color="000000" w:space="0" w:sz="0" w:val="nil"/>
              <w:left w:color="ffffff" w:space="0" w:sz="5" w:val="single"/>
              <w:bottom w:color="ffffff" w:space="0" w:sz="5" w:val="single"/>
              <w:right w:color="ffffff" w:space="0" w:sz="5" w:val="single"/>
            </w:tcBorders>
            <w:shd w:fill="196b24" w:val="clear"/>
            <w:tcMar>
              <w:top w:w="0.0" w:type="dxa"/>
              <w:left w:w="100.0" w:type="dxa"/>
              <w:bottom w:w="0.0" w:type="dxa"/>
              <w:right w:w="100.0" w:type="dxa"/>
            </w:tcMar>
            <w:vAlign w:val="top"/>
          </w:tcPr>
          <w:p w:rsidR="00000000" w:rsidDel="00000000" w:rsidP="00000000" w:rsidRDefault="00000000" w:rsidRPr="00000000" w14:paraId="000001E3">
            <w:pPr>
              <w:spacing w:after="0" w:before="0" w:line="240" w:lineRule="auto"/>
              <w:ind w:left="0" w:firstLine="0"/>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E4">
            <w:pPr>
              <w:spacing w:after="16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 ... čand</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E5">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Compares quantity (‘as much... as’)</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E6">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and</w:t>
            </w:r>
            <w:r w:rsidDel="00000000" w:rsidR="00000000" w:rsidRPr="00000000">
              <w:rPr>
                <w:rFonts w:ascii="Times New Roman" w:cs="Times New Roman" w:eastAsia="Times New Roman" w:hAnsi="Times New Roman"/>
                <w:rtl w:val="0"/>
              </w:rPr>
              <w:t xml:space="preserve"> [Noun] ... </w:t>
            </w:r>
            <w:r w:rsidDel="00000000" w:rsidR="00000000" w:rsidRPr="00000000">
              <w:rPr>
                <w:rFonts w:ascii="Times New Roman" w:cs="Times New Roman" w:eastAsia="Times New Roman" w:hAnsi="Times New Roman"/>
                <w:i w:val="1"/>
                <w:iCs w:val="1"/>
                <w:rtl w:val="0"/>
              </w:rPr>
              <w:t xml:space="preserve">čand</w:t>
            </w:r>
            <w:r w:rsidDel="00000000" w:rsidR="00000000" w:rsidRPr="00000000">
              <w:rPr>
                <w:rFonts w:ascii="Times New Roman" w:cs="Times New Roman" w:eastAsia="Times New Roman" w:hAnsi="Times New Roman"/>
                <w:rtl w:val="0"/>
              </w:rPr>
              <w:t xml:space="preserve"> [Clause]</w:t>
            </w:r>
          </w:p>
        </w:tc>
      </w:tr>
      <w:tr>
        <w:trPr>
          <w:cantSplit w:val="0"/>
          <w:trHeight w:val="720" w:hRule="atLeast"/>
          <w:tblHeader w:val="0"/>
        </w:trPr>
        <w:tc>
          <w:tcPr>
            <w:vMerge w:val="continue"/>
            <w:tcBorders>
              <w:top w:color="000000" w:space="0" w:sz="0" w:val="nil"/>
              <w:left w:color="ffffff" w:space="0" w:sz="5" w:val="single"/>
              <w:bottom w:color="ffffff" w:space="0" w:sz="5" w:val="single"/>
              <w:right w:color="ffffff" w:space="0" w:sz="5" w:val="single"/>
            </w:tcBorders>
            <w:shd w:fill="196b24" w:val="clear"/>
            <w:tcMar>
              <w:top w:w="0.0" w:type="dxa"/>
              <w:left w:w="100.0" w:type="dxa"/>
              <w:bottom w:w="0.0" w:type="dxa"/>
              <w:right w:w="100.0" w:type="dxa"/>
            </w:tcMar>
            <w:vAlign w:val="top"/>
          </w:tcPr>
          <w:p w:rsidR="00000000" w:rsidDel="00000000" w:rsidP="00000000" w:rsidRDefault="00000000" w:rsidRPr="00000000" w14:paraId="000001E7">
            <w:pPr>
              <w:spacing w:after="0" w:before="0" w:line="240" w:lineRule="auto"/>
              <w:ind w:left="0" w:firstLine="0"/>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E8">
            <w:pPr>
              <w:spacing w:after="16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 čand</w:t>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E9">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Expresses sufficiency (‘enough to...’)</w:t>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EA">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[Predicate]... </w:t>
            </w:r>
            <w:r w:rsidDel="00000000" w:rsidR="00000000" w:rsidRPr="00000000">
              <w:rPr>
                <w:rFonts w:ascii="Times New Roman" w:cs="Times New Roman" w:eastAsia="Times New Roman" w:hAnsi="Times New Roman"/>
                <w:i w:val="1"/>
                <w:iCs w:val="1"/>
                <w:rtl w:val="0"/>
              </w:rPr>
              <w:t xml:space="preserve">and čand</w:t>
            </w:r>
            <w:r w:rsidDel="00000000" w:rsidR="00000000" w:rsidRPr="00000000">
              <w:rPr>
                <w:rFonts w:ascii="Times New Roman" w:cs="Times New Roman" w:eastAsia="Times New Roman" w:hAnsi="Times New Roman"/>
                <w:rtl w:val="0"/>
              </w:rPr>
              <w:t xml:space="preserve"> [Result Clause]</w:t>
            </w:r>
          </w:p>
        </w:tc>
      </w:tr>
      <w:tr>
        <w:trPr>
          <w:cantSplit w:val="0"/>
          <w:trHeight w:val="720" w:hRule="atLeast"/>
          <w:tblHeader w:val="0"/>
        </w:trPr>
        <w:tc>
          <w:tcPr>
            <w:tcBorders>
              <w:top w:color="000000" w:space="0" w:sz="0" w:val="nil"/>
              <w:left w:color="ffffff" w:space="0" w:sz="5" w:val="single"/>
              <w:bottom w:color="ffffff" w:space="0" w:sz="5" w:val="single"/>
              <w:right w:color="ffffff" w:space="0" w:sz="5" w:val="single"/>
            </w:tcBorders>
            <w:shd w:fill="196b24" w:val="clear"/>
            <w:tcMar>
              <w:top w:w="0.0" w:type="dxa"/>
              <w:left w:w="100.0" w:type="dxa"/>
              <w:bottom w:w="0.0" w:type="dxa"/>
              <w:right w:w="100.0" w:type="dxa"/>
            </w:tcMar>
            <w:vAlign w:val="top"/>
          </w:tcPr>
          <w:p w:rsidR="00000000" w:rsidDel="00000000" w:rsidP="00000000" w:rsidRDefault="00000000" w:rsidRPr="00000000" w14:paraId="000001EB">
            <w:pPr>
              <w:spacing w:after="160" w:before="24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Proportional</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EC">
            <w:pPr>
              <w:spacing w:after="16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čand ... ēg</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ED">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Correlates two degrees (‘the more... the more...’)</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EE">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čand</w:t>
            </w:r>
            <w:r w:rsidDel="00000000" w:rsidR="00000000" w:rsidRPr="00000000">
              <w:rPr>
                <w:rFonts w:ascii="Times New Roman" w:cs="Times New Roman" w:eastAsia="Times New Roman" w:hAnsi="Times New Roman"/>
                <w:rtl w:val="0"/>
              </w:rPr>
              <w:t xml:space="preserve"> [Comparative 1], </w:t>
            </w:r>
            <w:r w:rsidDel="00000000" w:rsidR="00000000" w:rsidRPr="00000000">
              <w:rPr>
                <w:rFonts w:ascii="Times New Roman" w:cs="Times New Roman" w:eastAsia="Times New Roman" w:hAnsi="Times New Roman"/>
                <w:i w:val="1"/>
                <w:iCs w:val="1"/>
                <w:rtl w:val="0"/>
              </w:rPr>
              <w:t xml:space="preserve">ēg</w:t>
            </w:r>
            <w:r w:rsidDel="00000000" w:rsidR="00000000" w:rsidRPr="00000000">
              <w:rPr>
                <w:rFonts w:ascii="Times New Roman" w:cs="Times New Roman" w:eastAsia="Times New Roman" w:hAnsi="Times New Roman"/>
                <w:rtl w:val="0"/>
              </w:rPr>
              <w:t xml:space="preserve"> [Comparative 2]</w:t>
            </w:r>
          </w:p>
        </w:tc>
      </w:tr>
      <w:tr>
        <w:trPr>
          <w:cantSplit w:val="0"/>
          <w:trHeight w:val="1005" w:hRule="atLeast"/>
          <w:tblHeader w:val="0"/>
        </w:trPr>
        <w:tc>
          <w:tcPr>
            <w:vMerge w:val="restart"/>
            <w:tcBorders>
              <w:top w:color="000000" w:space="0" w:sz="0" w:val="nil"/>
              <w:left w:color="ffffff" w:space="0" w:sz="5" w:val="single"/>
              <w:bottom w:color="ffffff" w:space="0" w:sz="5" w:val="single"/>
              <w:right w:color="ffffff" w:space="0" w:sz="5" w:val="single"/>
            </w:tcBorders>
            <w:shd w:fill="196b24" w:val="clear"/>
            <w:tcMar>
              <w:top w:w="0.0" w:type="dxa"/>
              <w:left w:w="100.0" w:type="dxa"/>
              <w:bottom w:w="0.0" w:type="dxa"/>
              <w:right w:w="100.0" w:type="dxa"/>
            </w:tcMar>
            <w:vAlign w:val="top"/>
          </w:tcPr>
          <w:p w:rsidR="00000000" w:rsidDel="00000000" w:rsidP="00000000" w:rsidRDefault="00000000" w:rsidRPr="00000000" w14:paraId="000001EF">
            <w:pPr>
              <w:spacing w:after="160" w:before="24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Intensification</w:t>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F0">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was + </w:t>
            </w:r>
            <w:r w:rsidDel="00000000" w:rsidR="00000000" w:rsidRPr="00000000">
              <w:rPr>
                <w:rFonts w:ascii="Times New Roman" w:cs="Times New Roman" w:eastAsia="Times New Roman" w:hAnsi="Times New Roman"/>
                <w:rtl w:val="0"/>
              </w:rPr>
              <w:t xml:space="preserve">Comparative</w:t>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F1">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intensification (‘much more’), implies excess</w:t>
            </w:r>
          </w:p>
        </w:tc>
        <w:tc>
          <w:tcPr>
            <w:tcBorders>
              <w:top w:color="000000" w:space="0" w:sz="0" w:val="nil"/>
              <w:left w:color="000000" w:space="0" w:sz="0" w:val="nil"/>
              <w:bottom w:color="ffffff" w:space="0" w:sz="5" w:val="single"/>
              <w:right w:color="ffffff" w:space="0" w:sz="5" w:val="single"/>
            </w:tcBorders>
            <w:shd w:fill="c1f0c7" w:val="clear"/>
            <w:tcMar>
              <w:top w:w="0.0" w:type="dxa"/>
              <w:left w:w="100.0" w:type="dxa"/>
              <w:bottom w:w="0.0" w:type="dxa"/>
              <w:right w:w="100.0" w:type="dxa"/>
            </w:tcMar>
            <w:vAlign w:val="top"/>
          </w:tcPr>
          <w:p w:rsidR="00000000" w:rsidDel="00000000" w:rsidP="00000000" w:rsidRDefault="00000000" w:rsidRPr="00000000" w14:paraId="000001F2">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was</w:t>
            </w:r>
            <w:r w:rsidDel="00000000" w:rsidR="00000000" w:rsidRPr="00000000">
              <w:rPr>
                <w:rFonts w:ascii="Times New Roman" w:cs="Times New Roman" w:eastAsia="Times New Roman" w:hAnsi="Times New Roman"/>
                <w:rtl w:val="0"/>
              </w:rPr>
              <w:t xml:space="preserve"> [Comparative Adj/Adv]</w:t>
            </w:r>
          </w:p>
        </w:tc>
      </w:tr>
      <w:tr>
        <w:trPr>
          <w:cantSplit w:val="0"/>
          <w:trHeight w:val="720" w:hRule="atLeast"/>
          <w:tblHeader w:val="0"/>
        </w:trPr>
        <w:tc>
          <w:tcPr>
            <w:vMerge w:val="continue"/>
            <w:tcBorders>
              <w:top w:color="000000" w:space="0" w:sz="0" w:val="nil"/>
              <w:left w:color="ffffff" w:space="0" w:sz="5" w:val="single"/>
              <w:bottom w:color="ffffff" w:space="0" w:sz="5" w:val="single"/>
              <w:right w:color="ffffff" w:space="0" w:sz="5" w:val="single"/>
            </w:tcBorders>
            <w:shd w:fill="196b24" w:val="clear"/>
            <w:tcMar>
              <w:top w:w="0.0" w:type="dxa"/>
              <w:left w:w="100.0" w:type="dxa"/>
              <w:bottom w:w="0.0" w:type="dxa"/>
              <w:right w:w="100.0" w:type="dxa"/>
            </w:tcMar>
            <w:vAlign w:val="top"/>
          </w:tcPr>
          <w:p w:rsidR="00000000" w:rsidDel="00000000" w:rsidP="00000000" w:rsidRDefault="00000000" w:rsidRPr="00000000" w14:paraId="000001F3">
            <w:pPr>
              <w:spacing w:after="0" w:before="0" w:line="240" w:lineRule="auto"/>
              <w:ind w:left="0" w:firstLine="0"/>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F4">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wēš + </w:t>
            </w:r>
            <w:r w:rsidDel="00000000" w:rsidR="00000000" w:rsidRPr="00000000">
              <w:rPr>
                <w:rFonts w:ascii="Times New Roman" w:cs="Times New Roman" w:eastAsia="Times New Roman" w:hAnsi="Times New Roman"/>
                <w:rtl w:val="0"/>
              </w:rPr>
              <w:t xml:space="preserve">Comparative</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F5">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intensification (‘even more’)</w:t>
            </w:r>
          </w:p>
        </w:tc>
        <w:tc>
          <w:tcPr>
            <w:tcBorders>
              <w:top w:color="000000" w:space="0" w:sz="0" w:val="nil"/>
              <w:left w:color="000000" w:space="0" w:sz="0" w:val="nil"/>
              <w:bottom w:color="ffffff" w:space="0" w:sz="5" w:val="single"/>
              <w:right w:color="ffffff" w:space="0" w:sz="5" w:val="single"/>
            </w:tcBorders>
            <w:shd w:fill="84e290" w:val="clear"/>
            <w:tcMar>
              <w:top w:w="0.0" w:type="dxa"/>
              <w:left w:w="100.0" w:type="dxa"/>
              <w:bottom w:w="0.0" w:type="dxa"/>
              <w:right w:w="100.0" w:type="dxa"/>
            </w:tcMar>
            <w:vAlign w:val="top"/>
          </w:tcPr>
          <w:p w:rsidR="00000000" w:rsidDel="00000000" w:rsidP="00000000" w:rsidRDefault="00000000" w:rsidRPr="00000000" w14:paraId="000001F6">
            <w:pPr>
              <w:spacing w:after="16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wēš</w:t>
            </w:r>
            <w:r w:rsidDel="00000000" w:rsidR="00000000" w:rsidRPr="00000000">
              <w:rPr>
                <w:rFonts w:ascii="Times New Roman" w:cs="Times New Roman" w:eastAsia="Times New Roman" w:hAnsi="Times New Roman"/>
                <w:rtl w:val="0"/>
              </w:rPr>
              <w:t xml:space="preserve"> [Comparative Adj/Adv]</w:t>
            </w:r>
          </w:p>
        </w:tc>
      </w:tr>
    </w:tbl>
    <w:p w:rsidR="00000000" w:rsidDel="00000000" w:rsidP="00000000" w:rsidRDefault="00000000" w:rsidRPr="00000000" w14:paraId="000001F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XX.7 Questions</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rāmišntar, pad rāmišntar, and akanārag</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rāmišntar</w:t>
      </w:r>
    </w:p>
    <w:p w:rsidR="00000000" w:rsidDel="00000000" w:rsidP="00000000" w:rsidRDefault="00000000" w:rsidRPr="00000000" w14:paraId="000001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these compounds, or is </w:t>
      </w:r>
      <w:r w:rsidDel="00000000" w:rsidR="00000000" w:rsidRPr="00000000">
        <w:rPr>
          <w:rFonts w:ascii="Times New Roman" w:cs="Times New Roman" w:eastAsia="Times New Roman" w:hAnsi="Times New Roman"/>
          <w:i w:val="1"/>
          <w:iCs w:val="1"/>
          <w:rtl w:val="0"/>
        </w:rPr>
        <w:t xml:space="preserve">rāmišntar </w:t>
      </w:r>
      <w:r w:rsidDel="00000000" w:rsidR="00000000" w:rsidRPr="00000000">
        <w:rPr>
          <w:rFonts w:ascii="Times New Roman" w:cs="Times New Roman" w:eastAsia="Times New Roman" w:hAnsi="Times New Roman"/>
          <w:rtl w:val="0"/>
        </w:rPr>
        <w:t xml:space="preserve">a noun with a degree?</w:t>
      </w:r>
    </w:p>
    <w:p w:rsidR="00000000" w:rsidDel="00000000" w:rsidP="00000000" w:rsidRDefault="00000000" w:rsidRPr="00000000" w14:paraId="000001F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question is related to the POS categories and the distinction between compounding and phrasal syntax. This can be addressed in the chapters regarding Noun Phrase, Word Formation, and Prepositional Phrase.</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omas J" w:id="0" w:date="2025-11-27T15:48:50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compare this with abēr paydāg, which is definitely attested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