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yp8ofyd3p9n9" w:id="0"/>
      <w:bookmarkEnd w:id="0"/>
      <w:r w:rsidDel="00000000" w:rsidR="00000000" w:rsidRPr="00000000">
        <w:rPr>
          <w:rtl w:val="0"/>
        </w:rPr>
        <w:t xml:space="preserve">The Coordination of Pairs                   </w:t>
        <w:tab/>
        <w:t xml:space="preserve">                                                               </w:t>
      </w:r>
      <w:r w:rsidDel="00000000" w:rsidR="00000000" w:rsidRPr="00000000">
        <w:rPr>
          <w:rtl w:val="0"/>
        </w:rPr>
      </w:r>
    </w:p>
    <w:p w:rsidR="00000000" w:rsidDel="00000000" w:rsidP="00000000" w:rsidRDefault="00000000" w:rsidRPr="00000000" w14:paraId="00000002">
      <w:pPr>
        <w:jc w:val="both"/>
        <w:rPr>
          <w:b w:val="1"/>
          <w:sz w:val="24"/>
          <w:szCs w:val="24"/>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In sentences where we have conjoined embeddings like example 1 from UD</w:t>
      </w:r>
      <w:r w:rsidDel="00000000" w:rsidR="00000000" w:rsidRPr="00000000">
        <w:rPr>
          <w:vertAlign w:val="superscript"/>
        </w:rPr>
        <w:footnoteReference w:customMarkFollows="0" w:id="0"/>
      </w:r>
      <w:r w:rsidDel="00000000" w:rsidR="00000000" w:rsidRPr="00000000">
        <w:rPr>
          <w:rtl w:val="0"/>
        </w:rPr>
        <w:t xml:space="preserve">, according to the UD’s rule of thumb, the first constituents, here ‘Marie’ and ‘to Paris, are the main constituents of the sentence. The rest conjoined constituents, here ‘Miriam to Prague’, form a phrase in which the main constitnuent present, here ‘Miriam’, is raised to head of the phrase and is conjoined to the verb of the sentence (‘went to’). The rest, here ‘Prague’, go to this raised head (‘’Miriam’) in an orphan relationship.</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8490"/>
        <w:tblGridChange w:id="0">
          <w:tblGrid>
            <w:gridCol w:w="870"/>
            <w:gridCol w:w="8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both"/>
              <w:rPr/>
            </w:pPr>
            <w:r w:rsidDel="00000000" w:rsidR="00000000" w:rsidRPr="00000000">
              <w:rPr/>
              <w:drawing>
                <wp:inline distB="114300" distT="114300" distL="114300" distR="114300">
                  <wp:extent cx="3938588" cy="80791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8588" cy="80791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ind w:firstLine="720"/>
        <w:jc w:val="both"/>
        <w:rPr/>
      </w:pPr>
      <w:r w:rsidDel="00000000" w:rsidR="00000000" w:rsidRPr="00000000">
        <w:rPr>
          <w:rtl w:val="0"/>
        </w:rPr>
        <w:t xml:space="preserve">This analysis fits very well with languages like English which have the verb second. However, in some languages, it causes conflicts with another UD rule of thumb that the conjoined construction shall not proceed the head. Consider the following example</w:t>
      </w:r>
      <w:r w:rsidDel="00000000" w:rsidR="00000000" w:rsidRPr="00000000">
        <w:rPr>
          <w:vertAlign w:val="superscript"/>
        </w:rPr>
        <w:footnoteReference w:customMarkFollows="0" w:id="1"/>
      </w:r>
      <w:r w:rsidDel="00000000" w:rsidR="00000000" w:rsidRPr="00000000">
        <w:rPr>
          <w:rtl w:val="0"/>
        </w:rPr>
        <w:t xml:space="preserve"> from the Turkish corpus.</w:t>
      </w:r>
    </w:p>
    <w:p w:rsidR="00000000" w:rsidDel="00000000" w:rsidP="00000000" w:rsidRDefault="00000000" w:rsidRPr="00000000" w14:paraId="0000000A">
      <w:pPr>
        <w:jc w:val="both"/>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8535"/>
        <w:tblGridChange w:id="0">
          <w:tblGrid>
            <w:gridCol w:w="825"/>
            <w:gridCol w:w="8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both"/>
              <w:rPr/>
            </w:pPr>
            <w:r w:rsidDel="00000000" w:rsidR="00000000" w:rsidRPr="00000000">
              <w:rPr/>
              <w:drawing>
                <wp:inline distB="114300" distT="114300" distL="114300" distR="114300">
                  <wp:extent cx="3381375" cy="1332889"/>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81375" cy="133288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ind w:firstLine="720"/>
        <w:jc w:val="both"/>
        <w:rPr/>
      </w:pPr>
      <w:r w:rsidDel="00000000" w:rsidR="00000000" w:rsidRPr="00000000">
        <w:rPr>
          <w:rtl w:val="0"/>
        </w:rPr>
        <w:t xml:space="preserve">The above analysis differs (2) in two parts. On the one hand, the main constituents are not the first ones, namely </w:t>
      </w:r>
      <w:r w:rsidDel="00000000" w:rsidR="00000000" w:rsidRPr="00000000">
        <w:rPr>
          <w:i w:val="1"/>
          <w:rtl w:val="0"/>
        </w:rPr>
        <w:t xml:space="preserve">Ali</w:t>
      </w:r>
      <w:r w:rsidDel="00000000" w:rsidR="00000000" w:rsidRPr="00000000">
        <w:rPr>
          <w:rtl w:val="0"/>
        </w:rPr>
        <w:t xml:space="preserve"> and </w:t>
      </w:r>
      <w:r w:rsidDel="00000000" w:rsidR="00000000" w:rsidRPr="00000000">
        <w:rPr>
          <w:i w:val="1"/>
          <w:rtl w:val="0"/>
        </w:rPr>
        <w:t xml:space="preserve">kitap</w:t>
      </w:r>
      <w:r w:rsidDel="00000000" w:rsidR="00000000" w:rsidRPr="00000000">
        <w:rPr>
          <w:rtl w:val="0"/>
        </w:rPr>
        <w:t xml:space="preserve">, but the last ones, </w:t>
      </w:r>
      <w:r w:rsidDel="00000000" w:rsidR="00000000" w:rsidRPr="00000000">
        <w:rPr>
          <w:i w:val="1"/>
          <w:rtl w:val="0"/>
        </w:rPr>
        <w:t xml:space="preserve">Ahmet </w:t>
      </w:r>
      <w:r w:rsidDel="00000000" w:rsidR="00000000" w:rsidRPr="00000000">
        <w:rPr>
          <w:rtl w:val="0"/>
        </w:rPr>
        <w:t xml:space="preserve">and </w:t>
      </w:r>
      <w:r w:rsidDel="00000000" w:rsidR="00000000" w:rsidRPr="00000000">
        <w:rPr>
          <w:i w:val="1"/>
          <w:rtl w:val="0"/>
        </w:rPr>
        <w:t xml:space="preserve">gazete</w:t>
      </w:r>
      <w:r w:rsidDel="00000000" w:rsidR="00000000" w:rsidRPr="00000000">
        <w:rPr>
          <w:rtl w:val="0"/>
        </w:rPr>
        <w:t xml:space="preserve">. This analysis is probably suggested as to make the </w:t>
      </w:r>
      <w:r w:rsidDel="00000000" w:rsidR="00000000" w:rsidRPr="00000000">
        <w:rPr>
          <w:i w:val="1"/>
          <w:rtl w:val="0"/>
        </w:rPr>
        <w:t xml:space="preserve">Ahmet gazete okudu</w:t>
      </w:r>
      <w:r w:rsidDel="00000000" w:rsidR="00000000" w:rsidRPr="00000000">
        <w:rPr>
          <w:rtl w:val="0"/>
        </w:rPr>
        <w:t xml:space="preserve"> a complete sentence comparable to the English example above (1) “Marie went to Paris”. This analysis ignores the UD’s assumption that the head of the conjunct relation is the first conjunct and the rest </w:t>
      </w:r>
      <w:r w:rsidDel="00000000" w:rsidR="00000000" w:rsidRPr="00000000">
        <w:rPr>
          <w:rtl w:val="0"/>
        </w:rPr>
        <w:t xml:space="preserve">depend on it via the conj relation. Then, here we have a conjunct (</w:t>
      </w:r>
      <w:r w:rsidDel="00000000" w:rsidR="00000000" w:rsidRPr="00000000">
        <w:rPr>
          <w:i w:val="1"/>
          <w:rtl w:val="0"/>
        </w:rPr>
        <w:t xml:space="preserve">Ali</w:t>
      </w:r>
      <w:r w:rsidDel="00000000" w:rsidR="00000000" w:rsidRPr="00000000">
        <w:rPr>
          <w:rtl w:val="0"/>
        </w:rPr>
        <w:t xml:space="preserve">) preceeding its head (</w:t>
      </w:r>
      <w:r w:rsidDel="00000000" w:rsidR="00000000" w:rsidRPr="00000000">
        <w:rPr>
          <w:i w:val="1"/>
          <w:rtl w:val="0"/>
        </w:rPr>
        <w:t xml:space="preserve">okudu</w:t>
      </w:r>
      <w:r w:rsidDel="00000000" w:rsidR="00000000" w:rsidRPr="00000000">
        <w:rPr>
          <w:rtl w:val="0"/>
        </w:rPr>
        <w:t xml:space="preserve">).</w:t>
      </w:r>
    </w:p>
    <w:p w:rsidR="00000000" w:rsidDel="00000000" w:rsidP="00000000" w:rsidRDefault="00000000" w:rsidRPr="00000000" w14:paraId="0000000F">
      <w:pPr>
        <w:ind w:firstLine="720"/>
        <w:jc w:val="both"/>
        <w:rPr/>
      </w:pPr>
      <w:r w:rsidDel="00000000" w:rsidR="00000000" w:rsidRPr="00000000">
        <w:rPr>
          <w:rtl w:val="0"/>
        </w:rPr>
        <w:t xml:space="preserve">The situation in Persian is also the same as the verb usually</w:t>
      </w:r>
      <w:r w:rsidDel="00000000" w:rsidR="00000000" w:rsidRPr="00000000">
        <w:rPr>
          <w:vertAlign w:val="superscript"/>
        </w:rPr>
        <w:footnoteReference w:customMarkFollows="0" w:id="2"/>
      </w:r>
      <w:r w:rsidDel="00000000" w:rsidR="00000000" w:rsidRPr="00000000">
        <w:rPr>
          <w:rtl w:val="0"/>
        </w:rPr>
        <w:t xml:space="preserve"> appears at the end of the sentence. In the following example (3.1–3.3), we have three phrases conjoined. So, if one follows the analysis in example 2 above, taking the last one (3.3) the complete sentence and the first (3.1) and the second (3.2) conjoined to it, the same problem of the conjuncts referring to proceeding element arises. Moreover, an agreement problem will also arise in the complete phrase as the verb is plural but the last subject is singular. On the other hand, if the constituents in the first phrase (3.1) are assumed as the main constituents and the rest conjoined, like it is the analysis in example 1 above, still the orphans of the second (3.2) and the third (3.3) phrases shall be raised to the head position and go to the root of the sentence (</w:t>
      </w:r>
      <w:r w:rsidDel="00000000" w:rsidR="00000000" w:rsidRPr="00000000">
        <w:rPr>
          <w:i w:val="1"/>
          <w:rtl w:val="0"/>
        </w:rPr>
        <w:t xml:space="preserve">ēstēnd</w:t>
      </w:r>
      <w:r w:rsidDel="00000000" w:rsidR="00000000" w:rsidRPr="00000000">
        <w:rPr>
          <w:rtl w:val="0"/>
        </w:rPr>
        <w:t xml:space="preserve">) which is only spelled out after these orphans. Then, the error will be that these orphans proceed their parents.  </w:t>
      </w:r>
    </w:p>
    <w:p w:rsidR="00000000" w:rsidDel="00000000" w:rsidP="00000000" w:rsidRDefault="00000000" w:rsidRPr="00000000" w14:paraId="00000010">
      <w:pPr>
        <w:ind w:firstLine="720"/>
        <w:jc w:val="both"/>
        <w:rPr/>
      </w:pPr>
      <w:r w:rsidDel="00000000" w:rsidR="00000000" w:rsidRPr="00000000">
        <w:rPr>
          <w:rtl w:val="0"/>
        </w:rPr>
      </w:r>
    </w:p>
    <w:tbl>
      <w:tblPr>
        <w:tblStyle w:val="Table3"/>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1440"/>
        <w:gridCol w:w="1245"/>
        <w:gridCol w:w="1275"/>
        <w:gridCol w:w="1155"/>
        <w:gridCol w:w="1155"/>
        <w:gridCol w:w="1155"/>
        <w:gridCol w:w="1155"/>
        <w:tblGridChange w:id="0">
          <w:tblGrid>
            <w:gridCol w:w="660"/>
            <w:gridCol w:w="1440"/>
            <w:gridCol w:w="1245"/>
            <w:gridCol w:w="1275"/>
            <w:gridCol w:w="1155"/>
            <w:gridCol w:w="1155"/>
            <w:gridCol w:w="1155"/>
            <w:gridCol w:w="1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u=š</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wahman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orwahišt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šahrewar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dašn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w:t>
            </w:r>
            <w:r w:rsidDel="00000000" w:rsidR="00000000" w:rsidRPr="00000000">
              <w:rPr>
                <w:rtl w:val="0"/>
              </w:rPr>
              <w:t xml:space="preserve">=</w:t>
            </w:r>
            <w:r w:rsidDel="00000000" w:rsidR="00000000" w:rsidRPr="00000000">
              <w:rPr>
                <w:smallCaps w:val="1"/>
                <w:rtl w:val="0"/>
              </w:rPr>
              <w:t xml:space="preserve"> pc.3sg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Wahman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Ardwahišt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Šahrewar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right</w:t>
            </w:r>
          </w:p>
        </w:tc>
      </w:tr>
    </w:tbl>
    <w:p w:rsidR="00000000" w:rsidDel="00000000" w:rsidP="00000000" w:rsidRDefault="00000000" w:rsidRPr="00000000" w14:paraId="00000021">
      <w:pPr>
        <w:ind w:firstLine="720"/>
        <w:jc w:val="both"/>
        <w:rPr>
          <w:sz w:val="12"/>
          <w:szCs w:val="12"/>
        </w:rPr>
      </w:pPr>
      <w:r w:rsidDel="00000000" w:rsidR="00000000" w:rsidRPr="00000000">
        <w:rPr>
          <w:rtl w:val="0"/>
        </w:rPr>
      </w:r>
    </w:p>
    <w:p w:rsidR="00000000" w:rsidDel="00000000" w:rsidP="00000000" w:rsidRDefault="00000000" w:rsidRPr="00000000" w14:paraId="00000022">
      <w:pPr>
        <w:ind w:firstLine="720"/>
        <w:jc w:val="both"/>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490"/>
        <w:gridCol w:w="1560"/>
        <w:gridCol w:w="1560"/>
        <w:gridCol w:w="1560"/>
        <w:gridCol w:w="1560"/>
        <w:tblGridChange w:id="0">
          <w:tblGrid>
            <w:gridCol w:w="630"/>
            <w:gridCol w:w="249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i w:val="1"/>
              </w:rPr>
            </w:pPr>
            <w:r w:rsidDel="00000000" w:rsidR="00000000" w:rsidRPr="00000000">
              <w:rPr>
                <w:i w:val="1"/>
                <w:rtl w:val="0"/>
              </w:rPr>
              <w:t xml:space="preserve">spandarmad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i w:val="1"/>
              </w:rPr>
            </w:pPr>
            <w:r w:rsidDel="00000000" w:rsidR="00000000" w:rsidRPr="00000000">
              <w:rPr>
                <w:i w:val="1"/>
                <w:rtl w:val="0"/>
              </w:rPr>
              <w:t xml:space="preserve">hordad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i w:val="1"/>
              </w:rPr>
            </w:pPr>
            <w:r w:rsidDel="00000000" w:rsidR="00000000" w:rsidRPr="00000000">
              <w:rPr>
                <w:i w:val="1"/>
                <w:rtl w:val="0"/>
              </w:rPr>
              <w:t xml:space="preserve">amurdad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i w:val="1"/>
              </w:rPr>
            </w:pPr>
            <w:r w:rsidDel="00000000" w:rsidR="00000000" w:rsidRPr="00000000">
              <w:rPr>
                <w:i w:val="1"/>
                <w:rtl w:val="0"/>
              </w:rPr>
              <w:t xml:space="preserve">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i w:val="1"/>
              </w:rPr>
            </w:pPr>
            <w:r w:rsidDel="00000000" w:rsidR="00000000" w:rsidRPr="00000000">
              <w:rPr>
                <w:i w:val="1"/>
                <w:rtl w:val="0"/>
              </w:rPr>
              <w:t xml:space="preserve">hōy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Spandarmad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Hordad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Amurdad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left</w:t>
            </w:r>
          </w:p>
        </w:tc>
      </w:tr>
    </w:tbl>
    <w:p w:rsidR="00000000" w:rsidDel="00000000" w:rsidP="00000000" w:rsidRDefault="00000000" w:rsidRPr="00000000" w14:paraId="0000002F">
      <w:pPr>
        <w:ind w:firstLine="720"/>
        <w:jc w:val="both"/>
        <w:rPr>
          <w:sz w:val="12"/>
          <w:szCs w:val="12"/>
        </w:rPr>
      </w:pPr>
      <w:r w:rsidDel="00000000" w:rsidR="00000000" w:rsidRPr="00000000">
        <w:rPr>
          <w:rtl w:val="0"/>
        </w:rPr>
      </w:r>
    </w:p>
    <w:p w:rsidR="00000000" w:rsidDel="00000000" w:rsidP="00000000" w:rsidRDefault="00000000" w:rsidRPr="00000000" w14:paraId="00000030">
      <w:pPr>
        <w:ind w:firstLine="720"/>
        <w:jc w:val="both"/>
        <w:rPr/>
      </w:pPr>
      <w:r w:rsidDel="00000000" w:rsidR="00000000" w:rsidRPr="00000000">
        <w:rPr>
          <w:rtl w:val="0"/>
        </w:rPr>
      </w:r>
    </w:p>
    <w:tbl>
      <w:tblPr>
        <w:tblStyle w:val="Table5"/>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265"/>
        <w:gridCol w:w="1845"/>
        <w:gridCol w:w="4515"/>
        <w:tblGridChange w:id="0">
          <w:tblGrid>
            <w:gridCol w:w="615"/>
            <w:gridCol w:w="2265"/>
            <w:gridCol w:w="1845"/>
            <w:gridCol w:w="4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i w:val="1"/>
              </w:rPr>
            </w:pPr>
            <w:r w:rsidDel="00000000" w:rsidR="00000000" w:rsidRPr="00000000">
              <w:rPr>
                <w:i w:val="1"/>
                <w:rtl w:val="0"/>
              </w:rPr>
              <w:t xml:space="preserve">srōš</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i w:val="1"/>
              </w:rPr>
            </w:pPr>
            <w:r w:rsidDel="00000000" w:rsidR="00000000" w:rsidRPr="00000000">
              <w:rPr>
                <w:i w:val="1"/>
                <w:rtl w:val="0"/>
              </w:rPr>
              <w:t xml:space="preserve">pēš</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i w:val="1"/>
              </w:rPr>
            </w:pPr>
            <w:r w:rsidDel="00000000" w:rsidR="00000000" w:rsidRPr="00000000">
              <w:rPr>
                <w:i w:val="1"/>
                <w:rtl w:val="0"/>
              </w:rPr>
              <w:t xml:space="preserve">ēstēnd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Srōš</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In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stand</w:t>
            </w:r>
            <w:r w:rsidDel="00000000" w:rsidR="00000000" w:rsidRPr="00000000">
              <w:rPr>
                <w:rtl w:val="0"/>
              </w:rPr>
              <w:t xml:space="preserve">.</w:t>
            </w:r>
            <w:r w:rsidDel="00000000" w:rsidR="00000000" w:rsidRPr="00000000">
              <w:rPr>
                <w:smallCaps w:val="1"/>
                <w:rtl w:val="0"/>
              </w:rPr>
              <w:t xml:space="preserve">3pl.nonpst</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A">
            <w:pPr>
              <w:ind w:left="0" w:firstLine="0"/>
              <w:jc w:val="both"/>
              <w:rPr/>
            </w:pPr>
            <w:r w:rsidDel="00000000" w:rsidR="00000000" w:rsidRPr="00000000">
              <w:rPr>
                <w:rtl w:val="0"/>
              </w:rPr>
              <w:t xml:space="preserve">And Wahman, Arwahišt, and Šahrewar stand on his right, and Spandarmad, Hordad, and Amurdad on his left, and Srōš in the front.</w:t>
            </w:r>
          </w:p>
        </w:tc>
      </w:tr>
    </w:tbl>
    <w:p w:rsidR="00000000" w:rsidDel="00000000" w:rsidP="00000000" w:rsidRDefault="00000000" w:rsidRPr="00000000" w14:paraId="0000003D">
      <w:pPr>
        <w:ind w:firstLine="720"/>
        <w:jc w:val="both"/>
        <w:rPr/>
      </w:pPr>
      <w:r w:rsidDel="00000000" w:rsidR="00000000" w:rsidRPr="00000000">
        <w:rPr>
          <w:rtl w:val="0"/>
        </w:rPr>
      </w:r>
    </w:p>
    <w:p w:rsidR="00000000" w:rsidDel="00000000" w:rsidP="00000000" w:rsidRDefault="00000000" w:rsidRPr="00000000" w14:paraId="0000003E">
      <w:pPr>
        <w:ind w:left="0" w:firstLine="0"/>
        <w:jc w:val="both"/>
        <w:rPr>
          <w:sz w:val="20"/>
          <w:szCs w:val="20"/>
        </w:rPr>
      </w:pPr>
      <w:r w:rsidDel="00000000" w:rsidR="00000000" w:rsidRPr="00000000">
        <w:rPr>
          <w:rtl w:val="0"/>
        </w:rPr>
      </w:r>
    </w:p>
    <w:p w:rsidR="00000000" w:rsidDel="00000000" w:rsidP="00000000" w:rsidRDefault="00000000" w:rsidRPr="00000000" w14:paraId="0000003F">
      <w:pPr>
        <w:ind w:left="0" w:firstLine="0"/>
        <w:jc w:val="both"/>
        <w:rPr/>
      </w:pPr>
      <w:r w:rsidDel="00000000" w:rsidR="00000000" w:rsidRPr="00000000">
        <w:rPr>
          <w:rtl w:val="0"/>
        </w:rPr>
        <w:t xml:space="preserve">This recent analysis, in which orphans proceed parent, in some cases creates crossing lines in the syntactic tree and causes non-projectivity of the nodes. For example, in the 4, </w:t>
      </w:r>
    </w:p>
    <w:p w:rsidR="00000000" w:rsidDel="00000000" w:rsidP="00000000" w:rsidRDefault="00000000" w:rsidRPr="00000000" w14:paraId="00000040">
      <w:pPr>
        <w:ind w:left="0" w:firstLine="0"/>
        <w:jc w:val="both"/>
        <w:rPr/>
      </w:pPr>
      <w:r w:rsidDel="00000000" w:rsidR="00000000" w:rsidRPr="00000000">
        <w:rPr>
          <w:rtl w:val="0"/>
        </w:rPr>
      </w:r>
    </w:p>
    <w:p w:rsidR="00000000" w:rsidDel="00000000" w:rsidP="00000000" w:rsidRDefault="00000000" w:rsidRPr="00000000" w14:paraId="00000041">
      <w:pPr>
        <w:ind w:firstLine="720"/>
        <w:jc w:val="both"/>
        <w:rPr/>
      </w:pPr>
      <w:r w:rsidDel="00000000" w:rsidR="00000000" w:rsidRPr="00000000">
        <w:rPr>
          <w:rtl w:val="0"/>
        </w:rPr>
      </w:r>
    </w:p>
    <w:tbl>
      <w:tblPr>
        <w:tblStyle w:val="Table6"/>
        <w:tblW w:w="7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855"/>
        <w:gridCol w:w="945"/>
        <w:gridCol w:w="2160"/>
        <w:gridCol w:w="1650"/>
        <w:gridCol w:w="1470"/>
        <w:tblGridChange w:id="0">
          <w:tblGrid>
            <w:gridCol w:w="660"/>
            <w:gridCol w:w="855"/>
            <w:gridCol w:w="945"/>
            <w:gridCol w:w="2160"/>
            <w:gridCol w:w="1650"/>
            <w:gridCol w:w="1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i w:val="1"/>
              </w:rPr>
            </w:pPr>
            <w:r w:rsidDel="00000000" w:rsidR="00000000" w:rsidRPr="00000000">
              <w:rPr>
                <w:i w:val="1"/>
                <w:rtl w:val="0"/>
              </w:rPr>
              <w:t xml:space="preserve">ēn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i w:val="1"/>
              </w:rPr>
            </w:pPr>
            <w:r w:rsidDel="00000000" w:rsidR="00000000" w:rsidRPr="00000000">
              <w:rPr>
                <w:i w:val="1"/>
                <w:rtl w:val="0"/>
              </w:rPr>
              <w:t xml:space="preserve">gyāg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i w:val="1"/>
              </w:rPr>
            </w:pPr>
            <w:r w:rsidDel="00000000" w:rsidR="00000000" w:rsidRPr="00000000">
              <w:rPr>
                <w:i w:val="1"/>
                <w:rtl w:val="0"/>
              </w:rPr>
              <w:t xml:space="preserve">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i w:val="1"/>
              </w:rPr>
            </w:pPr>
            <w:r w:rsidDel="00000000" w:rsidR="00000000" w:rsidRPr="00000000">
              <w:rPr>
                <w:i w:val="1"/>
                <w:rtl w:val="0"/>
              </w:rPr>
              <w:t xml:space="preserve">kē</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i w:val="1"/>
              </w:rPr>
            </w:pPr>
            <w:r w:rsidDel="00000000" w:rsidR="00000000" w:rsidRPr="00000000">
              <w:rPr>
                <w:i w:val="1"/>
                <w:rtl w:val="0"/>
              </w:rPr>
              <w:t xml:space="preserve">zarābād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be there.</w:t>
            </w:r>
            <w:r w:rsidDel="00000000" w:rsidR="00000000" w:rsidRPr="00000000">
              <w:rPr>
                <w:smallCaps w:val="1"/>
                <w:rtl w:val="0"/>
              </w:rPr>
              <w:t xml:space="preserve">3sg.nonpst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someone 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Zarābād</w:t>
            </w:r>
          </w:p>
        </w:tc>
      </w:tr>
    </w:tbl>
    <w:p w:rsidR="00000000" w:rsidDel="00000000" w:rsidP="00000000" w:rsidRDefault="00000000" w:rsidRPr="00000000" w14:paraId="0000004E">
      <w:pPr>
        <w:ind w:firstLine="720"/>
        <w:jc w:val="both"/>
        <w:rPr>
          <w:sz w:val="12"/>
          <w:szCs w:val="12"/>
        </w:rPr>
      </w:pPr>
      <w:r w:rsidDel="00000000" w:rsidR="00000000" w:rsidRPr="00000000">
        <w:rPr>
          <w:rtl w:val="0"/>
        </w:rPr>
      </w:r>
    </w:p>
    <w:p w:rsidR="00000000" w:rsidDel="00000000" w:rsidP="00000000" w:rsidRDefault="00000000" w:rsidRPr="00000000" w14:paraId="0000004F">
      <w:pPr>
        <w:ind w:firstLine="720"/>
        <w:jc w:val="both"/>
        <w:rPr/>
      </w:pPr>
      <w:r w:rsidDel="00000000" w:rsidR="00000000" w:rsidRPr="00000000">
        <w:rPr>
          <w:rtl w:val="0"/>
        </w:rPr>
      </w:r>
    </w:p>
    <w:tbl>
      <w:tblPr>
        <w:tblStyle w:val="Table7"/>
        <w:tblW w:w="7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145"/>
        <w:gridCol w:w="1905"/>
        <w:gridCol w:w="1560"/>
        <w:gridCol w:w="1560"/>
        <w:tblGridChange w:id="0">
          <w:tblGrid>
            <w:gridCol w:w="630"/>
            <w:gridCol w:w="2145"/>
            <w:gridCol w:w="1905"/>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i w:val="1"/>
              </w:rPr>
            </w:pPr>
            <w:r w:rsidDel="00000000" w:rsidR="00000000" w:rsidRPr="00000000">
              <w:rPr>
                <w:i w:val="1"/>
                <w:rtl w:val="0"/>
              </w:rPr>
              <w:t xml:space="preserve">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i w:val="1"/>
              </w:rPr>
            </w:pPr>
            <w:r w:rsidDel="00000000" w:rsidR="00000000" w:rsidRPr="00000000">
              <w:rPr>
                <w:i w:val="1"/>
                <w:rtl w:val="0"/>
              </w:rPr>
              <w:t xml:space="preserve">kē</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i w:val="1"/>
              </w:rPr>
            </w:pPr>
            <w:r w:rsidDel="00000000" w:rsidR="00000000" w:rsidRPr="00000000">
              <w:rPr>
                <w:i w:val="1"/>
                <w:rtl w:val="0"/>
              </w:rPr>
              <w:t xml:space="preserve">rāzag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i w:val="1"/>
              </w:rPr>
            </w:pPr>
            <w:r w:rsidDel="00000000" w:rsidR="00000000" w:rsidRPr="00000000">
              <w:rPr>
                <w:i w:val="1"/>
                <w:rtl w:val="0"/>
              </w:rPr>
              <w:t xml:space="preserve">bašn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be there.</w:t>
            </w:r>
            <w:r w:rsidDel="00000000" w:rsidR="00000000" w:rsidRPr="00000000">
              <w:rPr>
                <w:smallCaps w:val="1"/>
                <w:rtl w:val="0"/>
              </w:rPr>
              <w:t xml:space="preserve">3sg.nonpst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someone 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Rāzag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peak</w:t>
            </w:r>
          </w:p>
        </w:tc>
      </w:tr>
    </w:tbl>
    <w:p w:rsidR="00000000" w:rsidDel="00000000" w:rsidP="00000000" w:rsidRDefault="00000000" w:rsidRPr="00000000" w14:paraId="0000005A">
      <w:pPr>
        <w:ind w:firstLine="720"/>
        <w:jc w:val="both"/>
        <w:rPr>
          <w:sz w:val="12"/>
          <w:szCs w:val="12"/>
        </w:rPr>
      </w:pPr>
      <w:r w:rsidDel="00000000" w:rsidR="00000000" w:rsidRPr="00000000">
        <w:rPr>
          <w:rtl w:val="0"/>
        </w:rPr>
      </w:r>
    </w:p>
    <w:p w:rsidR="00000000" w:rsidDel="00000000" w:rsidP="00000000" w:rsidRDefault="00000000" w:rsidRPr="00000000" w14:paraId="0000005B">
      <w:pPr>
        <w:ind w:firstLine="720"/>
        <w:jc w:val="both"/>
        <w:rPr/>
      </w:pPr>
      <w:r w:rsidDel="00000000" w:rsidR="00000000" w:rsidRPr="00000000">
        <w:rPr>
          <w:rtl w:val="0"/>
        </w:rPr>
      </w:r>
    </w:p>
    <w:tbl>
      <w:tblPr>
        <w:tblStyle w:val="Table8"/>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645"/>
        <w:gridCol w:w="2235"/>
        <w:gridCol w:w="1710"/>
        <w:gridCol w:w="885"/>
        <w:gridCol w:w="1830"/>
        <w:tblGridChange w:id="0">
          <w:tblGrid>
            <w:gridCol w:w="615"/>
            <w:gridCol w:w="645"/>
            <w:gridCol w:w="2235"/>
            <w:gridCol w:w="1710"/>
            <w:gridCol w:w="885"/>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i w:val="1"/>
              </w:rPr>
            </w:pPr>
            <w:r w:rsidDel="00000000" w:rsidR="00000000" w:rsidRPr="00000000">
              <w:rPr>
                <w:i w:val="1"/>
                <w:rtl w:val="0"/>
              </w:rPr>
              <w:t xml:space="preserve">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i w:val="1"/>
              </w:rPr>
            </w:pPr>
            <w:r w:rsidDel="00000000" w:rsidR="00000000" w:rsidRPr="00000000">
              <w:rPr>
                <w:i w:val="1"/>
                <w:rtl w:val="0"/>
              </w:rPr>
              <w:t xml:space="preserve">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i w:val="1"/>
              </w:rPr>
            </w:pPr>
            <w:r w:rsidDel="00000000" w:rsidR="00000000" w:rsidRPr="00000000">
              <w:rPr>
                <w:i w:val="1"/>
                <w:rtl w:val="0"/>
              </w:rPr>
              <w:t xml:space="preserve">kē</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i w:val="1"/>
              </w:rPr>
            </w:pPr>
            <w:r w:rsidDel="00000000" w:rsidR="00000000" w:rsidRPr="00000000">
              <w:rPr>
                <w:i w:val="1"/>
                <w:rtl w:val="0"/>
              </w:rPr>
              <w:t xml:space="preserve">karā</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i w:val="1"/>
              </w:rPr>
            </w:pPr>
            <w:r w:rsidDel="00000000" w:rsidR="00000000" w:rsidRPr="00000000">
              <w:rPr>
                <w:i w:val="1"/>
                <w:rtl w:val="0"/>
              </w:rPr>
              <w:t xml:space="preserve">xwānēd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be there.</w:t>
            </w:r>
            <w:r w:rsidDel="00000000" w:rsidR="00000000" w:rsidRPr="00000000">
              <w:rPr>
                <w:smallCaps w:val="1"/>
                <w:rtl w:val="0"/>
              </w:rPr>
              <w:t xml:space="preserve">3sg.nonpst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someone 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Karā</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call.</w:t>
            </w:r>
            <w:r w:rsidDel="00000000" w:rsidR="00000000" w:rsidRPr="00000000">
              <w:rPr>
                <w:smallCaps w:val="1"/>
                <w:rtl w:val="0"/>
              </w:rPr>
              <w:t xml:space="preserve">3sg.nonpst</w:t>
            </w:r>
            <w:r w:rsidDel="00000000" w:rsidR="00000000" w:rsidRPr="00000000">
              <w:rPr>
                <w:rtl w:val="0"/>
              </w:rPr>
            </w:r>
          </w:p>
        </w:tc>
      </w:tr>
    </w:tbl>
    <w:p w:rsidR="00000000" w:rsidDel="00000000" w:rsidP="00000000" w:rsidRDefault="00000000" w:rsidRPr="00000000" w14:paraId="00000068">
      <w:pPr>
        <w:ind w:firstLine="720"/>
        <w:jc w:val="both"/>
        <w:rPr/>
      </w:pPr>
      <w:r w:rsidDel="00000000" w:rsidR="00000000" w:rsidRPr="00000000">
        <w:rPr>
          <w:rtl w:val="0"/>
        </w:rPr>
      </w:r>
    </w:p>
    <w:p w:rsidR="00000000" w:rsidDel="00000000" w:rsidP="00000000" w:rsidRDefault="00000000" w:rsidRPr="00000000" w14:paraId="00000069">
      <w:pPr>
        <w:ind w:left="0" w:firstLine="0"/>
        <w:jc w:val="both"/>
        <w:rPr>
          <w:sz w:val="20"/>
          <w:szCs w:val="20"/>
        </w:rPr>
      </w:pPr>
      <w:r w:rsidDel="00000000" w:rsidR="00000000" w:rsidRPr="00000000">
        <w:rPr>
          <w:sz w:val="20"/>
          <w:szCs w:val="20"/>
          <w:rtl w:val="0"/>
        </w:rPr>
        <w:t xml:space="preserve">There is someone who calls this place Zarābād, There is someone who (calls it) Rāzag peak, and there is someone who (calls it) Karā (GBd </w:t>
      </w:r>
    </w:p>
    <w:p w:rsidR="00000000" w:rsidDel="00000000" w:rsidP="00000000" w:rsidRDefault="00000000" w:rsidRPr="00000000" w14:paraId="0000006A">
      <w:pPr>
        <w:ind w:left="0" w:firstLine="0"/>
        <w:jc w:val="both"/>
        <w:rPr/>
      </w:pPr>
      <w:r w:rsidDel="00000000" w:rsidR="00000000" w:rsidRPr="00000000">
        <w:rPr>
          <w:rtl w:val="0"/>
        </w:rPr>
      </w:r>
    </w:p>
    <w:p w:rsidR="00000000" w:rsidDel="00000000" w:rsidP="00000000" w:rsidRDefault="00000000" w:rsidRPr="00000000" w14:paraId="0000006B">
      <w:pPr>
        <w:ind w:left="0" w:firstLine="0"/>
        <w:jc w:val="both"/>
        <w:rPr/>
      </w:pPr>
      <w:r w:rsidDel="00000000" w:rsidR="00000000" w:rsidRPr="00000000">
        <w:rPr>
          <w:rtl w:val="0"/>
        </w:rPr>
        <w:t xml:space="preserve">In the above sentence (4), </w:t>
      </w:r>
      <w:r w:rsidDel="00000000" w:rsidR="00000000" w:rsidRPr="00000000">
        <w:rPr>
          <w:i w:val="1"/>
          <w:rtl w:val="0"/>
        </w:rPr>
        <w:t xml:space="preserve">ēn gyāg</w:t>
      </w:r>
      <w:r w:rsidDel="00000000" w:rsidR="00000000" w:rsidRPr="00000000">
        <w:rPr>
          <w:rtl w:val="0"/>
        </w:rPr>
        <w:t xml:space="preserve"> is a dislocated topic for the root which is the existential verb </w:t>
      </w:r>
      <w:r w:rsidDel="00000000" w:rsidR="00000000" w:rsidRPr="00000000">
        <w:rPr>
          <w:i w:val="1"/>
          <w:rtl w:val="0"/>
        </w:rPr>
        <w:t xml:space="preserve">ast</w:t>
      </w:r>
      <w:r w:rsidDel="00000000" w:rsidR="00000000" w:rsidRPr="00000000">
        <w:rPr>
          <w:rtl w:val="0"/>
        </w:rPr>
        <w:t xml:space="preserve"> ‘there is’. The repetitions of the root shall be conjoined to it, while the root of the clausal subject, namely the verb </w:t>
      </w:r>
      <w:r w:rsidDel="00000000" w:rsidR="00000000" w:rsidRPr="00000000">
        <w:rPr>
          <w:i w:val="1"/>
          <w:rtl w:val="0"/>
        </w:rPr>
        <w:t xml:space="preserve">xwānēd </w:t>
      </w:r>
      <w:r w:rsidDel="00000000" w:rsidR="00000000" w:rsidRPr="00000000">
        <w:rPr>
          <w:rtl w:val="0"/>
        </w:rPr>
        <w:t xml:space="preserve">has several conjunctions which are basically open clausal complements raised to the head of the phrase. Therefore, the conjunctions of the root of the sentence refer to the left while the conjunctions of the clausal subject refer to the right, and the word order is in a way that these dependency lines cause crossings in the syntactic tree. </w:t>
      </w:r>
    </w:p>
    <w:p w:rsidR="00000000" w:rsidDel="00000000" w:rsidP="00000000" w:rsidRDefault="00000000" w:rsidRPr="00000000" w14:paraId="0000006C">
      <w:pPr>
        <w:ind w:left="0" w:firstLine="0"/>
        <w:jc w:val="both"/>
        <w:rPr/>
      </w:pPr>
      <w:r w:rsidDel="00000000" w:rsidR="00000000" w:rsidRPr="00000000">
        <w:rPr>
          <w:rtl w:val="0"/>
        </w:rPr>
      </w:r>
    </w:p>
    <w:p w:rsidR="00000000" w:rsidDel="00000000" w:rsidP="00000000" w:rsidRDefault="00000000" w:rsidRPr="00000000" w14:paraId="0000006D">
      <w:pPr>
        <w:ind w:left="0" w:firstLine="0"/>
        <w:jc w:val="both"/>
        <w:rPr/>
      </w:pPr>
      <w:r w:rsidDel="00000000" w:rsidR="00000000" w:rsidRPr="00000000">
        <w:rPr/>
        <w:drawing>
          <wp:inline distB="114300" distT="114300" distL="114300" distR="114300">
            <wp:extent cx="6024563" cy="2461961"/>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024563" cy="2461961"/>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0" w:firstLine="0"/>
        <w:jc w:val="both"/>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https://universaldependencies.org/en/dep/orphan.html</w:t>
      </w:r>
    </w:p>
  </w:footnote>
  <w:footnote w:id="1">
    <w:p w:rsidR="00000000" w:rsidDel="00000000" w:rsidP="00000000" w:rsidRDefault="00000000" w:rsidRPr="00000000" w14:paraId="0000007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https://universaldependencies.org/tr/dep/orphan.html</w:t>
      </w:r>
    </w:p>
  </w:footnote>
  <w:footnote w:id="2">
    <w:p w:rsidR="00000000" w:rsidDel="00000000" w:rsidP="00000000" w:rsidRDefault="00000000" w:rsidRPr="00000000" w14:paraId="0000007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At least in written texts.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