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rId4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2e62e693bdbd8fd59008e8a80460d7248e86f7"/>
    <w:p>
      <w:pPr>
        <w:pStyle w:val="Heading1"/>
      </w:pPr>
      <w:r>
        <w:t xml:space="preserve">Governança integrada habilita consulta em linguagem natural sobre ocupação de leitos hospitalares</w:t>
      </w:r>
    </w:p>
    <w:p>
      <w:pPr>
        <w:pStyle w:val="Autores"/>
      </w:pPr>
      <w:r>
        <w:t xml:space="preserve">Gabriel Arcenio Rahal Marostica¹*; José Bernardo Neto²</w:t>
      </w:r>
    </w:p>
    <w:p>
      <w:pPr>
        <w:pStyle w:val="Endereco"/>
      </w:pPr>
      <w:r>
        <w:t xml:space="preserve">¹* Bacharel em Design Gráfico, especialista em Machine Learning e Inteligência Artificial. Hospital Sírio-Libanês. E-mail autor correspondente: arcenio2501@gmail.com</w:t>
      </w:r>
    </w:p>
    <w:p>
      <w:pPr>
        <w:pStyle w:val="Endereco"/>
      </w:pPr>
      <w:r>
        <w:t xml:space="preserve">² Doutor em Ciências. E-mail: bernardo@ita.br</w:t>
      </w:r>
    </w:p>
    <w:p>
      <w:pPr>
        <w:pStyle w:val="Rotulo"/>
      </w:pPr>
      <w:r>
        <w:rPr>
          <w:b/>
          <w:bCs/>
        </w:rPr>
        <w:t xml:space="preserve">Resumo</w:t>
      </w:r>
    </w:p>
    <w:p>
      <w:pPr>
        <w:pStyle w:val="ResumoTexto"/>
      </w:pPr>
      <w:r>
        <w:t xml:space="preserve">A consulta a dados hospitalares em linguagem natural promete ampliar o</w:t>
      </w:r>
      <w:r>
        <w:t xml:space="preserve"> </w:t>
      </w:r>
      <w:r>
        <w:t xml:space="preserve">acesso à informação, mas a governança costuma ser tratada à parte da</w:t>
      </w:r>
      <w:r>
        <w:t xml:space="preserve"> </w:t>
      </w:r>
      <w:r>
        <w:t xml:space="preserve">arquitetura. Este trabalho propôs e avaliou uma arquitetura de</w:t>
      </w:r>
      <w:r>
        <w:t xml:space="preserve"> </w:t>
      </w:r>
      <w:r>
        <w:t xml:space="preserve">referência em que controle de acesso, proteção dos dados, validação da</w:t>
      </w:r>
      <w:r>
        <w:t xml:space="preserve"> </w:t>
      </w:r>
      <w:r>
        <w:t xml:space="preserve">consulta e auditoria atravessam todo o fluxo, aplicada à ocupação de</w:t>
      </w:r>
      <w:r>
        <w:t xml:space="preserve"> </w:t>
      </w:r>
      <w:r>
        <w:t xml:space="preserve">leitos sobre dados sintéticos. Um pipeline em camadas expôs ao modelo só uma camada minimizada, com</w:t>
      </w:r>
      <w:r>
        <w:t xml:space="preserve"> </w:t>
      </w:r>
      <w:r>
        <w:t xml:space="preserve">k-anonimato verificado sobre o conjunto completo e isolada em arquivo</w:t>
      </w:r>
      <w:r>
        <w:t xml:space="preserve"> </w:t>
      </w:r>
      <w:r>
        <w:t xml:space="preserve">próprio; um verificador determinista em código decidiu a execução de cada</w:t>
      </w:r>
      <w:r>
        <w:t xml:space="preserve"> </w:t>
      </w:r>
      <w:r>
        <w:t xml:space="preserve">consulta; e o prompt foi tratado como variável experimental, com</w:t>
      </w:r>
      <w:r>
        <w:t xml:space="preserve"> </w:t>
      </w:r>
      <w:r>
        <w:t xml:space="preserve">hipóteses pré-registradas. Com um modelo aberto de 14 bilhões de</w:t>
      </w:r>
      <w:r>
        <w:t xml:space="preserve"> </w:t>
      </w:r>
      <w:r>
        <w:t xml:space="preserve">parâmetros executado localmente, o execution match estrito em 18 perguntas</w:t>
      </w:r>
      <w:r>
        <w:t xml:space="preserve"> </w:t>
      </w:r>
      <w:r>
        <w:t xml:space="preserve">subiu de 22,2% para 72,2% conforme o prompt descreveu o schema e</w:t>
      </w:r>
      <w:r>
        <w:t xml:space="preserve"> </w:t>
      </w:r>
      <w:r>
        <w:t xml:space="preserve">informou o escopo, sem recusa indevida; a configuração operacional, que</w:t>
      </w:r>
      <w:r>
        <w:t xml:space="preserve"> </w:t>
      </w:r>
      <w:r>
        <w:t xml:space="preserve">autoriza o modelo a recusar, mediu 66,7% nas legítimas e 88% de recusa</w:t>
      </w:r>
      <w:r>
        <w:t xml:space="preserve"> </w:t>
      </w:r>
      <w:r>
        <w:t xml:space="preserve">devida em 25 perguntas adversariais, sem que nenhuma linha fora do escopo</w:t>
      </w:r>
      <w:r>
        <w:t xml:space="preserve"> </w:t>
      </w:r>
      <w:r>
        <w:t xml:space="preserve">fosse entregue. Um modelo comercial via interface de programação alcançou 90,7% sem</w:t>
      </w:r>
      <w:r>
        <w:t xml:space="preserve"> </w:t>
      </w:r>
      <w:r>
        <w:t xml:space="preserve">instrução de recusa e, na configuração operacional, 94,4% com 88% de</w:t>
      </w:r>
      <w:r>
        <w:t xml:space="preserve"> </w:t>
      </w:r>
      <w:r>
        <w:t xml:space="preserve">recusa devida. A hipótese de acurácia superior a 80% foi atingida na</w:t>
      </w:r>
      <w:r>
        <w:t xml:space="preserve"> </w:t>
      </w:r>
      <w:r>
        <w:t xml:space="preserve">estimativa pontual só com o modelo comercial, e o tamanho do conjunto não permite cravar de que lado do limiar está o</w:t>
      </w:r>
      <w:r>
        <w:t xml:space="preserve"> </w:t>
      </w:r>
      <w:r>
        <w:t xml:space="preserve">valor verdadeiro; a conformidade foi demonstrada como propriedade de</w:t>
      </w:r>
      <w:r>
        <w:t xml:space="preserve"> </w:t>
      </w:r>
      <w:r>
        <w:t xml:space="preserve">projeto. A</w:t>
      </w:r>
      <w:r>
        <w:t xml:space="preserve"> </w:t>
      </w:r>
      <w:r>
        <w:t xml:space="preserve">governança integrada não gerou recusa indevida, e a pertinência da</w:t>
      </w:r>
      <w:r>
        <w:t xml:space="preserve"> </w:t>
      </w:r>
      <w:r>
        <w:t xml:space="preserve">resposta permaneceu como limite.</w:t>
      </w:r>
    </w:p>
    <w:p>
      <w:pPr>
        <w:pStyle w:val="SemRecuo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Text-to-SQL; conformidade regulatória; dados sintéticos; saúde digital; controle de acesso.</w:t>
      </w:r>
    </w:p>
    <w:bookmarkEnd w:id="25"/>
    <w:bookmarkStart w:id="26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As interfaces em linguagem natural para bancos de dados formam um campo</w:t>
      </w:r>
      <w:r>
        <w:t xml:space="preserve"> </w:t>
      </w:r>
      <w:r>
        <w:t xml:space="preserve">maduro (Affolter et al., 2019), e a tradução de perguntas em consultas</w:t>
      </w:r>
      <w:r>
        <w:t xml:space="preserve"> </w:t>
      </w:r>
      <w:r>
        <w:t xml:space="preserve">SQL (Text-to-SQL) conta com benchmarks consolidados, como o Spider (Yu et</w:t>
      </w:r>
      <w:r>
        <w:t xml:space="preserve"> </w:t>
      </w:r>
      <w:r>
        <w:t xml:space="preserve">al., 2018) e, no domínio clínico, o EHRSQL (Lee et al., 2022), tendo sido</w:t>
      </w:r>
      <w:r>
        <w:t xml:space="preserve"> </w:t>
      </w:r>
      <w:r>
        <w:t xml:space="preserve">transformada pelos modelos de linguagem de grande porte (Shi et al.,</w:t>
      </w:r>
      <w:r>
        <w:t xml:space="preserve"> </w:t>
      </w:r>
      <w:r>
        <w:t xml:space="preserve">2025). Em hospitais, a possibilidade de um gestor ou uma equipe</w:t>
      </w:r>
      <w:r>
        <w:t xml:space="preserve"> </w:t>
      </w:r>
      <w:r>
        <w:t xml:space="preserve">assistencial perguntar aos dados sem depender de uma fila de solicitações</w:t>
      </w:r>
      <w:r>
        <w:t xml:space="preserve"> </w:t>
      </w:r>
      <w:r>
        <w:t xml:space="preserve">à área técnica promete ampliar o acesso à informação operacional. Os</w:t>
      </w:r>
      <w:r>
        <w:t xml:space="preserve"> </w:t>
      </w:r>
      <w:r>
        <w:t xml:space="preserve">trabalhos recentes que aplicam essa abordagem a dados clínicos relatam</w:t>
      </w:r>
      <w:r>
        <w:t xml:space="preserve"> </w:t>
      </w:r>
      <w:r>
        <w:t xml:space="preserve">acurácias entre 43% e 78% em uma única chamada ao modelo e acima de 90%</w:t>
      </w:r>
      <w:r>
        <w:t xml:space="preserve"> </w:t>
      </w:r>
      <w:r>
        <w:t xml:space="preserve">com agentes que corrigem a consulta iterativamente (Al Attrach et al.,</w:t>
      </w:r>
      <w:r>
        <w:t xml:space="preserve"> </w:t>
      </w:r>
      <w:r>
        <w:t xml:space="preserve">2026; Tanković et al., 2025), e apontam a resolução de termos e valores do domínio como principal</w:t>
      </w:r>
      <w:r>
        <w:t xml:space="preserve"> </w:t>
      </w:r>
      <w:r>
        <w:t xml:space="preserve">causa de erro, à frente da sintaxe.</w:t>
      </w:r>
    </w:p>
    <w:p>
      <w:pPr>
        <w:pStyle w:val="BodyText"/>
      </w:pPr>
      <w:r>
        <w:t xml:space="preserve">A governança dos dados e do modelo, porém, costuma ser tratada de forma</w:t>
      </w:r>
      <w:r>
        <w:t xml:space="preserve"> </w:t>
      </w:r>
      <w:r>
        <w:t xml:space="preserve">fragmentada, separada da arquitetura de dados. Em saúde essa</w:t>
      </w:r>
      <w:r>
        <w:t xml:space="preserve"> </w:t>
      </w:r>
      <w:r>
        <w:t xml:space="preserve">fragmentação pesa mais do que em outros setores: os dados são pessoais e</w:t>
      </w:r>
      <w:r>
        <w:t xml:space="preserve"> </w:t>
      </w:r>
      <w:r>
        <w:t xml:space="preserve">sensíveis, e o marco regulatório é exigente, composto pela Lei Geral de Proteção de Dados [LGPD] (Brasil, 2018),</w:t>
      </w:r>
      <w:r>
        <w:t xml:space="preserve"> </w:t>
      </w:r>
      <w:r>
        <w:t xml:space="preserve">pelas normas da Agência Nacional de Vigilância Sanitária [ANVISA] (2022)</w:t>
      </w:r>
      <w:r>
        <w:t xml:space="preserve"> </w:t>
      </w:r>
      <w:r>
        <w:t xml:space="preserve">aplicáveis a software em saúde e pelas diretrizes da Autoridade Nacional</w:t>
      </w:r>
      <w:r>
        <w:t xml:space="preserve"> </w:t>
      </w:r>
      <w:r>
        <w:t xml:space="preserve">de Proteção de Dados [ANPD] (2024) sobre inteligência artificial</w:t>
      </w:r>
      <w:r>
        <w:t xml:space="preserve"> </w:t>
      </w:r>
      <w:r>
        <w:t xml:space="preserve">generativa. Somam-se riscos próprios</w:t>
      </w:r>
      <w:r>
        <w:t xml:space="preserve"> </w:t>
      </w:r>
      <w:r>
        <w:t xml:space="preserve">dos modelos de linguagem, como a injeção de instruções e o acesso</w:t>
      </w:r>
      <w:r>
        <w:t xml:space="preserve"> </w:t>
      </w:r>
      <w:r>
        <w:t xml:space="preserve">indevido a recursos (OWASP Foundation, 2025), que uma instrução em</w:t>
      </w:r>
      <w:r>
        <w:t xml:space="preserve"> </w:t>
      </w:r>
      <w:r>
        <w:t xml:space="preserve">linguagem natural pode converter em injeção de SQL (Pedro et al., 2025),</w:t>
      </w:r>
      <w:r>
        <w:t xml:space="preserve"> </w:t>
      </w:r>
      <w:r>
        <w:t xml:space="preserve">tratados na prática por guardrails programáveis (Rebedea et al., 2023) e,</w:t>
      </w:r>
      <w:r>
        <w:t xml:space="preserve"> </w:t>
      </w:r>
      <w:r>
        <w:t xml:space="preserve">no setor de saúde, sob diretrizes éticas e de governança dedicadas (World</w:t>
      </w:r>
      <w:r>
        <w:t xml:space="preserve"> </w:t>
      </w:r>
      <w:r>
        <w:t xml:space="preserve">Health Organization [WHO], 2024).</w:t>
      </w:r>
    </w:p>
    <w:p>
      <w:pPr>
        <w:pStyle w:val="BodyText"/>
      </w:pPr>
      <w:r>
        <w:t xml:space="preserve">A literatura passou a medir o Text-to-SQL sob controle de acesso apenas</w:t>
      </w:r>
      <w:r>
        <w:t xml:space="preserve"> </w:t>
      </w:r>
      <w:r>
        <w:t xml:space="preserve">recentemente. Benchmarks de 2025 e 2026 mostram que instruir a política</w:t>
      </w:r>
      <w:r>
        <w:t xml:space="preserve"> </w:t>
      </w:r>
      <w:r>
        <w:t xml:space="preserve">de acesso no prompt não impede vazamentos, que restringir o schema</w:t>
      </w:r>
      <w:r>
        <w:t xml:space="preserve"> </w:t>
      </w:r>
      <w:r>
        <w:t xml:space="preserve">visível ao papel do usuário reduz o vazamento explícito mas induz o</w:t>
      </w:r>
      <w:r>
        <w:t xml:space="preserve"> </w:t>
      </w:r>
      <w:r>
        <w:t xml:space="preserve">modelo a alucinar tabelas, e que os modelos raramente recusam consultas</w:t>
      </w:r>
      <w:r>
        <w:t xml:space="preserve"> </w:t>
      </w:r>
      <w:r>
        <w:t xml:space="preserve">não autorizadas por iniciativa própria (Fei et al., 2026; Klisura et al.,</w:t>
      </w:r>
      <w:r>
        <w:t xml:space="preserve"> </w:t>
      </w:r>
      <w:r>
        <w:t xml:space="preserve">2026; Miyamoto et al., 2026). A recomendação convergente é a verificação</w:t>
      </w:r>
      <w:r>
        <w:t xml:space="preserve"> </w:t>
      </w:r>
      <w:r>
        <w:t xml:space="preserve">determinista fora do modelo. Esses trabalhos, porém, avaliam o modelo</w:t>
      </w:r>
      <w:r>
        <w:t xml:space="preserve"> </w:t>
      </w:r>
      <w:r>
        <w:t xml:space="preserve">decidindo sozinho ou com um verificador também baseado em modelo, e não</w:t>
      </w:r>
      <w:r>
        <w:t xml:space="preserve"> </w:t>
      </w:r>
      <w:r>
        <w:t xml:space="preserve">isolam o que muda quando um verificador em código garante o escopo e o</w:t>
      </w:r>
      <w:r>
        <w:t xml:space="preserve"> </w:t>
      </w:r>
      <w:r>
        <w:t xml:space="preserve">modelo é informado sobre ele.</w:t>
      </w:r>
    </w:p>
    <w:p>
      <w:pPr>
        <w:pStyle w:val="BodyText"/>
      </w:pPr>
      <w:r>
        <w:t xml:space="preserve">Este trabalho partiu da hipótese, registrada no projeto de pesquisa, de</w:t>
      </w:r>
      <w:r>
        <w:t xml:space="preserve"> </w:t>
      </w:r>
      <w:r>
        <w:t xml:space="preserve">que uma arquitetura de Conversational Analytics com modelo de governança</w:t>
      </w:r>
      <w:r>
        <w:t xml:space="preserve"> </w:t>
      </w:r>
      <w:r>
        <w:t xml:space="preserve">integrado responderia a consultas operacionais hospitalares em linguagem</w:t>
      </w:r>
      <w:r>
        <w:t xml:space="preserve"> </w:t>
      </w:r>
      <w:r>
        <w:t xml:space="preserve">natural com acurácia superior a 80% e em conformidade com os requisitos</w:t>
      </w:r>
      <w:r>
        <w:t xml:space="preserve"> </w:t>
      </w:r>
      <w:r>
        <w:t xml:space="preserve">da LGPD e das normas da ANVISA. Propôs-se uma arquitetura de referência</w:t>
      </w:r>
      <w:r>
        <w:t xml:space="preserve"> </w:t>
      </w:r>
      <w:r>
        <w:t xml:space="preserve">em quatro camadas, na qual a proteção dos dados, o controle de acesso por</w:t>
      </w:r>
      <w:r>
        <w:t xml:space="preserve"> </w:t>
      </w:r>
      <w:r>
        <w:t xml:space="preserve">perfil, a validação da consulta e a auditoria atravessam todo o fluxo, da</w:t>
      </w:r>
      <w:r>
        <w:t xml:space="preserve"> </w:t>
      </w:r>
      <w:r>
        <w:t xml:space="preserve">pergunta do usuário à resposta entregue. O domínio de implementação e</w:t>
      </w:r>
      <w:r>
        <w:t xml:space="preserve"> </w:t>
      </w:r>
      <w:r>
        <w:t xml:space="preserve">avaliação foi a ocupação de leitos hospitalares, e toda a pesquisa usou</w:t>
      </w:r>
      <w:r>
        <w:t xml:space="preserve"> </w:t>
      </w:r>
      <w:r>
        <w:t xml:space="preserve">dados sintéticos, o que eliminou na origem o risco de exposição de dados</w:t>
      </w:r>
      <w:r>
        <w:t xml:space="preserve"> </w:t>
      </w:r>
      <w:r>
        <w:t xml:space="preserve">reais e permite que a arquitetura seja replicada.</w:t>
      </w:r>
    </w:p>
    <w:p>
      <w:pPr>
        <w:pStyle w:val="BodyText"/>
      </w:pPr>
      <w:r>
        <w:t xml:space="preserve">O objetivo geral foi propor e validar, por meio de um protótipo</w:t>
      </w:r>
      <w:r>
        <w:t xml:space="preserve"> </w:t>
      </w:r>
      <w:r>
        <w:t xml:space="preserve">funcional, essa arquitetura de referência, com foco na governança segura</w:t>
      </w:r>
      <w:r>
        <w:t xml:space="preserve"> </w:t>
      </w:r>
      <w:r>
        <w:t xml:space="preserve">de modelos de linguagem sobre dados clínicos, respondendo à pergunta: uma</w:t>
      </w:r>
      <w:r>
        <w:t xml:space="preserve"> </w:t>
      </w:r>
      <w:r>
        <w:t xml:space="preserve">arquitetura que integra a governança de ponta a ponta preserva a</w:t>
      </w:r>
      <w:r>
        <w:t xml:space="preserve"> </w:t>
      </w:r>
      <w:r>
        <w:t xml:space="preserve">utilidade da consulta em linguagem natural, e a que custo mensurável? Os</w:t>
      </w:r>
      <w:r>
        <w:t xml:space="preserve"> </w:t>
      </w:r>
      <w:r>
        <w:t xml:space="preserve">objetivos específicos foram: (a) levantar a literatura sobre</w:t>
      </w:r>
      <w:r>
        <w:t xml:space="preserve"> </w:t>
      </w:r>
      <w:r>
        <w:t xml:space="preserve">Conversational Analytics, Text-to-SQL e governança de modelos de</w:t>
      </w:r>
      <w:r>
        <w:t xml:space="preserve"> </w:t>
      </w:r>
      <w:r>
        <w:t xml:space="preserve">linguagem em contextos clínicos; (b) mapear os requisitos regulatórios</w:t>
      </w:r>
      <w:r>
        <w:t xml:space="preserve"> </w:t>
      </w:r>
      <w:r>
        <w:t xml:space="preserve">aplicáveis; (c) projetar a arquitetura técnica, do pipeline de dados ao</w:t>
      </w:r>
      <w:r>
        <w:t xml:space="preserve"> </w:t>
      </w:r>
      <w:r>
        <w:t xml:space="preserve">motor com guardrails; (d) desenvolver o modelo de governança, com</w:t>
      </w:r>
      <w:r>
        <w:t xml:space="preserve"> </w:t>
      </w:r>
      <w:r>
        <w:t xml:space="preserve">controle de acesso, rastreabilidade, proteção dos dados e validação das</w:t>
      </w:r>
      <w:r>
        <w:t xml:space="preserve"> </w:t>
      </w:r>
      <w:r>
        <w:t xml:space="preserve">respostas; e (e) implementar e avaliar o protótipo sobre dados</w:t>
      </w:r>
      <w:r>
        <w:t xml:space="preserve"> </w:t>
      </w:r>
      <w:r>
        <w:t xml:space="preserve">sintéticos, medindo acurácia, recusa devida e indevida, rastreabilidade</w:t>
      </w:r>
      <w:r>
        <w:t xml:space="preserve"> </w:t>
      </w:r>
      <w:r>
        <w:t xml:space="preserve">e conformidade de projeto.</w:t>
      </w:r>
    </w:p>
    <w:bookmarkEnd w:id="26"/>
    <w:bookmarkStart w:id="35" w:name="metodologia"/>
    <w:p>
      <w:pPr>
        <w:pStyle w:val="Heading1"/>
      </w:pPr>
      <w:r>
        <w:t xml:space="preserve">Metodologia</w:t>
      </w:r>
    </w:p>
    <w:p>
      <w:pPr>
        <w:pStyle w:val="FirstParagraph"/>
      </w:pPr>
      <w:r>
        <w:t xml:space="preserve">A pesquisa caracterizou-se como aplicada, com abordagem quantitativa e</w:t>
      </w:r>
      <w:r>
        <w:t xml:space="preserve"> </w:t>
      </w:r>
      <w:r>
        <w:t xml:space="preserve">caráter exploratório e descritivo, e adotou o delineamento de estudo de</w:t>
      </w:r>
      <w:r>
        <w:t xml:space="preserve"> </w:t>
      </w:r>
      <w:r>
        <w:t xml:space="preserve">caso instrumental (Yin, 2015) apoiado no desenvolvimento de um protótipo</w:t>
      </w:r>
      <w:r>
        <w:t xml:space="preserve"> </w:t>
      </w:r>
      <w:r>
        <w:t xml:space="preserve">funcional, em linha com a pesquisa em ciência do projeto, na qual o</w:t>
      </w:r>
      <w:r>
        <w:t xml:space="preserve"> </w:t>
      </w:r>
      <w:r>
        <w:t xml:space="preserve">artefato construído é também o instrumento de avaliação (Hevner et al.,</w:t>
      </w:r>
      <w:r>
        <w:t xml:space="preserve"> </w:t>
      </w:r>
      <w:r>
        <w:t xml:space="preserve">2004). O protótipo materializou uma arquitetura de referência, entendida</w:t>
      </w:r>
      <w:r>
        <w:t xml:space="preserve"> </w:t>
      </w:r>
      <w:r>
        <w:t xml:space="preserve">como um modelo de solução reutilizável para uma classe de sistemas</w:t>
      </w:r>
      <w:r>
        <w:t xml:space="preserve"> </w:t>
      </w:r>
      <w:r>
        <w:t xml:space="preserve">(Angelov et al., 2012). Os métodos são descritos na mesma ordem em que os</w:t>
      </w:r>
      <w:r>
        <w:t xml:space="preserve"> </w:t>
      </w:r>
      <w:r>
        <w:t xml:space="preserve">resultados são apresentados.</w:t>
      </w:r>
    </w:p>
    <w:bookmarkStart w:id="27" w:name="escopo-e-levantamento-da-literatura"/>
    <w:p>
      <w:pPr>
        <w:pStyle w:val="Heading2"/>
      </w:pPr>
      <w:r>
        <w:t xml:space="preserve">Escopo e levantamento da literatura</w:t>
      </w:r>
    </w:p>
    <w:p>
      <w:pPr>
        <w:pStyle w:val="FirstParagraph"/>
      </w:pPr>
      <w:r>
        <w:t xml:space="preserve">A pesquisa delimitou-se a um domínio operacional hospitalar, a ocupação</w:t>
      </w:r>
      <w:r>
        <w:t xml:space="preserve"> </w:t>
      </w:r>
      <w:r>
        <w:t xml:space="preserve">de leitos, com modelo de dados próprio e quatro tabelas expostas ao</w:t>
      </w:r>
      <w:r>
        <w:t xml:space="preserve"> </w:t>
      </w:r>
      <w:r>
        <w:t xml:space="preserve">motor de linguagem. Em relação ao projeto de pesquisa, o escopo foi</w:t>
      </w:r>
      <w:r>
        <w:t xml:space="preserve"> </w:t>
      </w:r>
      <w:r>
        <w:t xml:space="preserve">ajustado em três pontos: o conjunto de dados restringiu-se a esse</w:t>
      </w:r>
      <w:r>
        <w:t xml:space="preserve"> </w:t>
      </w:r>
      <w:r>
        <w:t xml:space="preserve">domínio, sem as áreas de prontuário, farmácia e faturamento nem a</w:t>
      </w:r>
      <w:r>
        <w:t xml:space="preserve"> </w:t>
      </w:r>
      <w:r>
        <w:t xml:space="preserve">estruturação sobre uma base pública; o levantamento da literatura foi</w:t>
      </w:r>
      <w:r>
        <w:t xml:space="preserve"> </w:t>
      </w:r>
      <w:r>
        <w:t xml:space="preserve">narrativo, com protocolo, em vez de sistemático; e a conformidade</w:t>
      </w:r>
      <w:r>
        <w:t xml:space="preserve"> </w:t>
      </w:r>
      <w:r>
        <w:t xml:space="preserve">regulatória foi tratada como propriedade de projeto, e não como</w:t>
      </w:r>
      <w:r>
        <w:t xml:space="preserve"> </w:t>
      </w:r>
      <w:r>
        <w:t xml:space="preserve">aderência demonstrada, porque os dados são sintéticos. A delimitação</w:t>
      </w:r>
      <w:r>
        <w:t xml:space="preserve"> </w:t>
      </w:r>
      <w:r>
        <w:t xml:space="preserve">privilegiou profundidade de governança sobre amplitude de dados: com um</w:t>
      </w:r>
      <w:r>
        <w:t xml:space="preserve"> </w:t>
      </w:r>
      <w:r>
        <w:t xml:space="preserve">domínio único foi possível medir cada controle isoladamente, em execução</w:t>
      </w:r>
      <w:r>
        <w:t xml:space="preserve"> </w:t>
      </w:r>
      <w:r>
        <w:t xml:space="preserve">real e com repetição, dentro do prazo do trabalho. As consequências</w:t>
      </w:r>
      <w:r>
        <w:t xml:space="preserve"> </w:t>
      </w:r>
      <w:r>
        <w:t xml:space="preserve">dessa escolha para a generalização são discutidas entre as limitações.</w:t>
      </w:r>
    </w:p>
    <w:p>
      <w:pPr>
        <w:pStyle w:val="BodyText"/>
      </w:pPr>
      <w:r>
        <w:t xml:space="preserve">O levantamento da literatura foi narrativo, com protocolo registrado: a</w:t>
      </w:r>
      <w:r>
        <w:t xml:space="preserve"> </w:t>
      </w:r>
      <w:r>
        <w:t xml:space="preserve">busca de 8 de setembro de 2026 usou arXiv, ACL Anthology, Europe PMC e</w:t>
      </w:r>
      <w:r>
        <w:t xml:space="preserve"> </w:t>
      </w:r>
      <w:r>
        <w:t xml:space="preserve">PubMed, bibliotecas de editoras e da Sociedade Brasileira de Computação e</w:t>
      </w:r>
      <w:r>
        <w:t xml:space="preserve"> </w:t>
      </w:r>
      <w:r>
        <w:t xml:space="preserve">os portais oficiais da ANPD e da ANVISA, com termos, recorte temporal e</w:t>
      </w:r>
      <w:r>
        <w:t xml:space="preserve"> </w:t>
      </w:r>
      <w:r>
        <w:t xml:space="preserve">critérios de inclusão e exclusão definidos antes da leitura, seguindo</w:t>
      </w:r>
      <w:r>
        <w:t xml:space="preserve"> </w:t>
      </w:r>
      <w:r>
        <w:t xml:space="preserve">Prodanov e Freitas (2013). Os itens encontrados e triados não foram</w:t>
      </w:r>
      <w:r>
        <w:t xml:space="preserve"> </w:t>
      </w:r>
      <w:r>
        <w:t xml:space="preserve">contabilizados por base, razão pela qual o levantamento não é apresentado</w:t>
      </w:r>
      <w:r>
        <w:t xml:space="preserve"> </w:t>
      </w:r>
      <w:r>
        <w:t xml:space="preserve">como revisão sistemática. Resultaram 73 fichas de leitura agrupadas por</w:t>
      </w:r>
      <w:r>
        <w:t xml:space="preserve"> </w:t>
      </w:r>
      <w:r>
        <w:t xml:space="preserve">tema, das quais saíram as citações deste trabalho.</w:t>
      </w:r>
    </w:p>
    <w:bookmarkEnd w:id="27"/>
    <w:bookmarkStart w:id="28" w:name="dados-sintéticos-e-pipeline-em-camadas"/>
    <w:p>
      <w:pPr>
        <w:pStyle w:val="Heading2"/>
      </w:pPr>
      <w:r>
        <w:t xml:space="preserve">Dados sintéticos e pipeline em camadas</w:t>
      </w:r>
    </w:p>
    <w:p>
      <w:pPr>
        <w:pStyle w:val="FirstParagraph"/>
      </w:pPr>
      <w:r>
        <w:t xml:space="preserve">Todos os dados foram gerados de forma determinista com a biblioteca Faker</w:t>
      </w:r>
      <w:r>
        <w:t xml:space="preserve"> </w:t>
      </w:r>
      <w:r>
        <w:t xml:space="preserve">em localidade pt_BR, controlada por uma semente única (42) e ancorada em</w:t>
      </w:r>
      <w:r>
        <w:t xml:space="preserve"> </w:t>
      </w:r>
      <w:r>
        <w:t xml:space="preserve">uma data de referência fixa da simulação (31 de maio de 2026). O ambiente</w:t>
      </w:r>
      <w:r>
        <w:t xml:space="preserve"> </w:t>
      </w:r>
      <w:r>
        <w:t xml:space="preserve">representou um hospital com oito unidades, duzentos leitos, seiscentos</w:t>
      </w:r>
      <w:r>
        <w:t xml:space="preserve"> </w:t>
      </w:r>
      <w:r>
        <w:t xml:space="preserve">pacientes e 2.012 internações, com noventa dias de histórico de</w:t>
      </w:r>
      <w:r>
        <w:t xml:space="preserve"> </w:t>
      </w:r>
      <w:r>
        <w:t xml:space="preserve">ocupação diária. Nenhum dado real foi utilizado em qualquer etapa.</w:t>
      </w:r>
    </w:p>
    <w:p>
      <w:pPr>
        <w:pStyle w:val="BodyText"/>
      </w:pPr>
      <w:r>
        <w:t xml:space="preserve">Os dados percorreram um pipeline em três camadas implementado em DuckDB,</w:t>
      </w:r>
      <w:r>
        <w:t xml:space="preserve"> </w:t>
      </w:r>
      <w:r>
        <w:t xml:space="preserve">no modelo Lakehouse (Armbrust et al., 2021). A camada Bronze recebeu os</w:t>
      </w:r>
      <w:r>
        <w:t xml:space="preserve"> </w:t>
      </w:r>
      <w:r>
        <w:t xml:space="preserve">dados brutos, com nome, CPF e data de nascimento inseridos de propósito,</w:t>
      </w:r>
      <w:r>
        <w:t xml:space="preserve"> </w:t>
      </w:r>
      <w:r>
        <w:t xml:space="preserve">para que a proteção aplicada na camada seguinte fosse real e verificável.</w:t>
      </w:r>
      <w:r>
        <w:t xml:space="preserve"> </w:t>
      </w:r>
      <w:r>
        <w:t xml:space="preserve">A camada Silver removeu esses campos, derivou a faixa etária a partir da</w:t>
      </w:r>
      <w:r>
        <w:t xml:space="preserve"> </w:t>
      </w:r>
      <w:r>
        <w:t xml:space="preserve">idade completa na data de referência e pseudonimizou o identificador do</w:t>
      </w:r>
      <w:r>
        <w:t xml:space="preserve"> </w:t>
      </w:r>
      <w:r>
        <w:t xml:space="preserve">paciente com código de autenticação de mensagem com chave [HMAC], na</w:t>
      </w:r>
      <w:r>
        <w:t xml:space="preserve"> </w:t>
      </w:r>
      <w:r>
        <w:t xml:space="preserve">variante HMAC-SHA256, com a chave lida do ambiente, técnica</w:t>
      </w:r>
      <w:r>
        <w:t xml:space="preserve"> </w:t>
      </w:r>
      <w:r>
        <w:t xml:space="preserve">recomendada no lugar do hash simples quando o domínio do identificador é</w:t>
      </w:r>
      <w:r>
        <w:t xml:space="preserve"> </w:t>
      </w:r>
      <w:r>
        <w:t xml:space="preserve">pequeno (European Data Protection Board [EDPB], 2025; European Union Agency</w:t>
      </w:r>
      <w:r>
        <w:t xml:space="preserve"> </w:t>
      </w:r>
      <w:r>
        <w:t xml:space="preserve">for Cybersecurity [ENISA], 2022); por isso a Silver foi tratada como</w:t>
      </w:r>
      <w:r>
        <w:t xml:space="preserve"> </w:t>
      </w:r>
      <w:r>
        <w:t xml:space="preserve">pseudonimizada, e não anonimizada. A camada Gold, única exposta ao modelo</w:t>
      </w:r>
      <w:r>
        <w:t xml:space="preserve"> </w:t>
      </w:r>
      <w:r>
        <w:t xml:space="preserve">de linguagem, reuniu quatro tabelas: a situação de cada leito na data de</w:t>
      </w:r>
      <w:r>
        <w:t xml:space="preserve"> </w:t>
      </w:r>
      <w:r>
        <w:t xml:space="preserve">referência, o resumo por unidade, a série diária do hospital e as</w:t>
      </w:r>
      <w:r>
        <w:t xml:space="preserve"> </w:t>
      </w:r>
      <w:r>
        <w:t xml:space="preserve">internações, estas sem identificador de paciente e reduzidas a tipo de</w:t>
      </w:r>
      <w:r>
        <w:t xml:space="preserve"> </w:t>
      </w:r>
      <w:r>
        <w:t xml:space="preserve">leito, faixa etária, situação e tempo de permanência. Sobre as</w:t>
      </w:r>
      <w:r>
        <w:t xml:space="preserve"> </w:t>
      </w:r>
      <w:r>
        <w:t xml:space="preserve">internações foi imposto k-anonimato (Sweeney, 2002) com k mínimo de 5 no</w:t>
      </w:r>
      <w:r>
        <w:t xml:space="preserve"> </w:t>
      </w:r>
      <w:r>
        <w:t xml:space="preserve">par tipo de leito e faixa etária, limiar adequado a uso interno</w:t>
      </w:r>
      <w:r>
        <w:t xml:space="preserve"> </w:t>
      </w:r>
      <w:r>
        <w:t xml:space="preserve">controlado (El Emam e Arbuckle, 2013), verificado por teste a cada</w:t>
      </w:r>
      <w:r>
        <w:t xml:space="preserve"> </w:t>
      </w:r>
      <w:r>
        <w:t xml:space="preserve">construção. A Gold foi exportada para um arquivo próprio, de modo que as camadas</w:t>
      </w:r>
      <w:r>
        <w:t xml:space="preserve"> </w:t>
      </w:r>
      <w:r>
        <w:t xml:space="preserve">internas não existissem no banco consultado pelo sistema. A Figura 1 do Apêndice A apresenta o fluxo de uma pergunta pelas quatro</w:t>
      </w:r>
      <w:r>
        <w:t xml:space="preserve"> </w:t>
      </w:r>
      <w:r>
        <w:t xml:space="preserve">camadas, e a Tabela 1 do mesmo apêndice, os controles de cada uma; a</w:t>
      </w:r>
      <w:r>
        <w:t xml:space="preserve"> </w:t>
      </w:r>
      <w:r>
        <w:t xml:space="preserve">mensagem de recusa com o ponto de bloqueio, prevista na arquitetura, não</w:t>
      </w:r>
      <w:r>
        <w:t xml:space="preserve"> </w:t>
      </w:r>
      <w:r>
        <w:t xml:space="preserve">foi implementada no protótipo, que devolve apenas a recusa e registra o</w:t>
      </w:r>
      <w:r>
        <w:t xml:space="preserve"> </w:t>
      </w:r>
      <w:r>
        <w:t xml:space="preserve">controle na trilha. Como o</w:t>
      </w:r>
      <w:r>
        <w:t xml:space="preserve"> </w:t>
      </w:r>
      <w:r>
        <w:t xml:space="preserve">DuckDB não oferece controle de acesso por usuário, o isolamento foi</w:t>
      </w:r>
      <w:r>
        <w:t xml:space="preserve"> </w:t>
      </w:r>
      <w:r>
        <w:t xml:space="preserve">materializado como arquivo separado; em um banco com permissões, o mesmo</w:t>
      </w:r>
      <w:r>
        <w:t xml:space="preserve"> </w:t>
      </w:r>
      <w:r>
        <w:t xml:space="preserve">princípio de menor privilégio seria implementado por um usuário de</w:t>
      </w:r>
      <w:r>
        <w:t xml:space="preserve"> </w:t>
      </w:r>
      <w:r>
        <w:t xml:space="preserve">leitura restrito às tabelas Gold.</w:t>
      </w:r>
    </w:p>
    <w:bookmarkEnd w:id="28"/>
    <w:bookmarkStart w:id="29" w:name="governança-de-entrada-e-de-saída"/>
    <w:p>
      <w:pPr>
        <w:pStyle w:val="Heading2"/>
      </w:pPr>
      <w:r>
        <w:t xml:space="preserve">Governança de entrada e de saída</w:t>
      </w:r>
    </w:p>
    <w:p>
      <w:pPr>
        <w:pStyle w:val="FirstParagraph"/>
      </w:pPr>
      <w:r>
        <w:t xml:space="preserve">A governança foi concebida como defesa em profundidade, alinhada à gestão</w:t>
      </w:r>
      <w:r>
        <w:t xml:space="preserve"> </w:t>
      </w:r>
      <w:r>
        <w:t xml:space="preserve">de risco de sistemas de inteligência artificial (National Institute of Standards and Technology [NIST],</w:t>
      </w:r>
      <w:r>
        <w:t xml:space="preserve"> </w:t>
      </w:r>
      <w:r>
        <w:t xml:space="preserve">2023) e aos riscos</w:t>
      </w:r>
      <w:r>
        <w:t xml:space="preserve"> </w:t>
      </w:r>
      <w:r>
        <w:t xml:space="preserve">catalogados para aplicações de modelos de linguagem, em especial a injeção</w:t>
      </w:r>
      <w:r>
        <w:t xml:space="preserve"> </w:t>
      </w:r>
      <w:r>
        <w:t xml:space="preserve">de instruções e o acesso indevido a recursos (OWASP Foundation, 2025). O desenho</w:t>
      </w:r>
      <w:r>
        <w:t xml:space="preserve"> </w:t>
      </w:r>
      <w:r>
        <w:t xml:space="preserve">seguiu o padrão gerador e verificador: o modelo propôs a consulta e um</w:t>
      </w:r>
      <w:r>
        <w:t xml:space="preserve"> </w:t>
      </w:r>
      <w:r>
        <w:t xml:space="preserve">verificador determinista, escrito em código, decidiu se ela seria</w:t>
      </w:r>
      <w:r>
        <w:t xml:space="preserve"> </w:t>
      </w:r>
      <w:r>
        <w:t xml:space="preserve">executada (Klisura et al., 2026).</w:t>
      </w:r>
    </w:p>
    <w:p>
      <w:pPr>
        <w:pStyle w:val="BodyText"/>
      </w:pPr>
      <w:r>
        <w:t xml:space="preserve">Antes de qualquer chamada ao modelo, o texto da pergunta foi verificado</w:t>
      </w:r>
      <w:r>
        <w:t xml:space="preserve"> </w:t>
      </w:r>
      <w:r>
        <w:t xml:space="preserve">contra padrões de CPF, e-mail e telefone; havendo ocorrência, a pergunta</w:t>
      </w:r>
      <w:r>
        <w:t xml:space="preserve"> </w:t>
      </w:r>
      <w:r>
        <w:t xml:space="preserve">foi recusada e o trecho mascarado, sem chegar ao modelo nem à trilha de</w:t>
      </w:r>
      <w:r>
        <w:t xml:space="preserve"> </w:t>
      </w:r>
      <w:r>
        <w:t xml:space="preserve">auditoria. A consulta gerada passou por cinco verificações textuais:</w:t>
      </w:r>
      <w:r>
        <w:t xml:space="preserve"> </w:t>
      </w:r>
      <w:r>
        <w:t xml:space="preserve">instrução única, somente leitura, ausência de comandos de escrita, de</w:t>
      </w:r>
      <w:r>
        <w:t xml:space="preserve"> </w:t>
      </w:r>
      <w:r>
        <w:t xml:space="preserve">leitura de arquivo e de consulta ao catálogo do banco, ausência de</w:t>
      </w:r>
      <w:r>
        <w:t xml:space="preserve"> </w:t>
      </w:r>
      <w:r>
        <w:t xml:space="preserve">referência às camadas Bronze e Silver, e restrição às tabelas Gold</w:t>
      </w:r>
      <w:r>
        <w:t xml:space="preserve"> </w:t>
      </w:r>
      <w:r>
        <w:t xml:space="preserve">autorizadas ao perfil. A execução ocorreu em conexão somente leitura,</w:t>
      </w:r>
      <w:r>
        <w:t xml:space="preserve"> </w:t>
      </w:r>
      <w:r>
        <w:t xml:space="preserve">restrita ao arquivo da Gold e com o acesso do banco a arquivos externos</w:t>
      </w:r>
      <w:r>
        <w:t xml:space="preserve"> </w:t>
      </w:r>
      <w:r>
        <w:t xml:space="preserve">desligado, de modo que as garantias principais ficassem no dado e na conexão, além</w:t>
      </w:r>
      <w:r>
        <w:t xml:space="preserve"> </w:t>
      </w:r>
      <w:r>
        <w:t xml:space="preserve">do texto da consulta. Na saída, o sistema verificou</w:t>
      </w:r>
      <w:r>
        <w:t xml:space="preserve"> </w:t>
      </w:r>
      <w:r>
        <w:t xml:space="preserve">que as tabelas citadas existiam na Gold e bloqueou colunas com nome de</w:t>
      </w:r>
      <w:r>
        <w:t xml:space="preserve"> </w:t>
      </w:r>
      <w:r>
        <w:t xml:space="preserve">campo sensível. Cada pergunta e cada resposta foram registradas numa</w:t>
      </w:r>
      <w:r>
        <w:t xml:space="preserve"> </w:t>
      </w:r>
      <w:r>
        <w:t xml:space="preserve">trilha de auditoria com horário real, perfil, consulta, controle que</w:t>
      </w:r>
      <w:r>
        <w:t xml:space="preserve"> </w:t>
      </w:r>
      <w:r>
        <w:t xml:space="preserve">barrou e hash do resultado entregue, em cadeia de hashes que torna</w:t>
      </w:r>
      <w:r>
        <w:t xml:space="preserve"> </w:t>
      </w:r>
      <w:r>
        <w:t xml:space="preserve">detectável qualquer alteração posterior (Kent e Souppaya, 2006; Schneier e</w:t>
      </w:r>
      <w:r>
        <w:t xml:space="preserve"> </w:t>
      </w:r>
      <w:r>
        <w:t xml:space="preserve">Kelsey, 1999).</w:t>
      </w:r>
    </w:p>
    <w:p>
      <w:pPr>
        <w:pStyle w:val="BodyText"/>
      </w:pPr>
      <w:r>
        <w:t xml:space="preserve">Foram definidos três perfis de acesso, com escopo derivado da finalidade</w:t>
      </w:r>
      <w:r>
        <w:t xml:space="preserve"> </w:t>
      </w:r>
      <w:r>
        <w:t xml:space="preserve">de cada função, conforme os princípios de finalidade e necessidade da</w:t>
      </w:r>
      <w:r>
        <w:t xml:space="preserve"> </w:t>
      </w:r>
      <w:r>
        <w:t xml:space="preserve">LGPD (Brasil, 2018). A enfermagem acessou a situação de cada leito e o</w:t>
      </w:r>
      <w:r>
        <w:t xml:space="preserve"> </w:t>
      </w:r>
      <w:r>
        <w:t xml:space="preserve">resumo por unidade, que servem à operação do turno. O perfil</w:t>
      </w:r>
      <w:r>
        <w:t xml:space="preserve"> </w:t>
      </w:r>
      <w:r>
        <w:t xml:space="preserve">administrativo acessou o resumo por unidade e a série histórica, que</w:t>
      </w:r>
      <w:r>
        <w:t xml:space="preserve"> </w:t>
      </w:r>
      <w:r>
        <w:t xml:space="preserve">servem ao planejamento, sem nível de leito nem de internação. O gestor,</w:t>
      </w:r>
      <w:r>
        <w:t xml:space="preserve"> </w:t>
      </w:r>
      <w:r>
        <w:t xml:space="preserve">responsável pela capacidade do hospital, acessou as quatro tabelas,</w:t>
      </w:r>
      <w:r>
        <w:t xml:space="preserve"> </w:t>
      </w:r>
      <w:r>
        <w:t xml:space="preserve">inclusive as internações em nível de linha, para análises de permanência</w:t>
      </w:r>
      <w:r>
        <w:t xml:space="preserve"> </w:t>
      </w:r>
      <w:r>
        <w:t xml:space="preserve">que combinem tipo de leito, faixa etária e situação. A matriz seguiu o</w:t>
      </w:r>
      <w:r>
        <w:t xml:space="preserve"> </w:t>
      </w:r>
      <w:r>
        <w:t xml:space="preserve">princípio do menor privilégio: cada perfil recebeu o escopo mínimo</w:t>
      </w:r>
      <w:r>
        <w:t xml:space="preserve"> </w:t>
      </w:r>
      <w:r>
        <w:t xml:space="preserve">necessário à sua finalidade, e nenhum acesso foi concedido por</w:t>
      </w:r>
      <w:r>
        <w:t xml:space="preserve"> </w:t>
      </w:r>
      <w:r>
        <w:t xml:space="preserve">conveniência; a alternativa de expor ao gestor apenas agregados de</w:t>
      </w:r>
      <w:r>
        <w:t xml:space="preserve"> </w:t>
      </w:r>
      <w:r>
        <w:t xml:space="preserve">internações é discutida entre as limitações.</w:t>
      </w:r>
    </w:p>
    <w:bookmarkEnd w:id="29"/>
    <w:bookmarkStart w:id="30" w:name="enquadramento-regulatório"/>
    <w:p>
      <w:pPr>
        <w:pStyle w:val="Heading2"/>
      </w:pPr>
      <w:r>
        <w:t xml:space="preserve">Enquadramento regulatório</w:t>
      </w:r>
    </w:p>
    <w:p>
      <w:pPr>
        <w:pStyle w:val="FirstParagraph"/>
      </w:pPr>
      <w:r>
        <w:t xml:space="preserve">Os requisitos da LGPD (Brasil, 2018), das diretrizes da ANPD (2024) e</w:t>
      </w:r>
      <w:r>
        <w:t xml:space="preserve"> </w:t>
      </w:r>
      <w:r>
        <w:t xml:space="preserve">das normas da ANVISA foram mapeados a controles concretos, à camada responsável e à situação de</w:t>
      </w:r>
      <w:r>
        <w:t xml:space="preserve"> </w:t>
      </w:r>
      <w:r>
        <w:t xml:space="preserve">implementação (Apêndice B), distinguindo controle com</w:t>
      </w:r>
      <w:r>
        <w:t xml:space="preserve"> </w:t>
      </w:r>
      <w:r>
        <w:t xml:space="preserve">código e teste, controle por configuração, controle parcial e controle</w:t>
      </w:r>
      <w:r>
        <w:t xml:space="preserve"> </w:t>
      </w:r>
      <w:r>
        <w:t xml:space="preserve">apenas projetado. Como os dados são sintéticos, a LGPD não incidiu sobre</w:t>
      </w:r>
      <w:r>
        <w:t xml:space="preserve"> </w:t>
      </w:r>
      <w:r>
        <w:t xml:space="preserve">o protótipo, e a conformidade foi tratada como propriedade de projeto: uma</w:t>
      </w:r>
      <w:r>
        <w:t xml:space="preserve"> </w:t>
      </w:r>
      <w:r>
        <w:t xml:space="preserve">arquitetura projetada para atender aos princípios da lei, sem aderência</w:t>
      </w:r>
      <w:r>
        <w:t xml:space="preserve"> </w:t>
      </w:r>
      <w:r>
        <w:t xml:space="preserve">demonstrada em dados reais. O</w:t>
      </w:r>
      <w:r>
        <w:t xml:space="preserve"> </w:t>
      </w:r>
      <w:r>
        <w:t xml:space="preserve">protótipo realiza análise de ocupação de leitos para apoio à gestão, sem</w:t>
      </w:r>
      <w:r>
        <w:t xml:space="preserve"> </w:t>
      </w:r>
      <w:r>
        <w:t xml:space="preserve">finalidade diagnóstica ou terapêutica sobre paciente individual, e nesse</w:t>
      </w:r>
      <w:r>
        <w:t xml:space="preserve"> </w:t>
      </w:r>
      <w:r>
        <w:t xml:space="preserve">escopo não se caracteriza como software como dispositivo médico nos</w:t>
      </w:r>
      <w:r>
        <w:t xml:space="preserve"> </w:t>
      </w:r>
      <w:r>
        <w:t xml:space="preserve">termos da Resolução da Diretoria Colegiada [RDC] nº 657/2022 (ANVISA,</w:t>
      </w:r>
      <w:r>
        <w:t xml:space="preserve"> </w:t>
      </w:r>
      <w:r>
        <w:t xml:space="preserve">2022). Dessa norma usou-se apenas o enquadramento, isto é, a definição</w:t>
      </w:r>
      <w:r>
        <w:t xml:space="preserve"> </w:t>
      </w:r>
      <w:r>
        <w:t xml:space="preserve">de software como dispositivo médico e a exclusão do software de gestão</w:t>
      </w:r>
      <w:r>
        <w:t xml:space="preserve"> </w:t>
      </w:r>
      <w:r>
        <w:t xml:space="preserve">sem finalidade clínica; nenhum requisito específico de regularização foi</w:t>
      </w:r>
      <w:r>
        <w:t xml:space="preserve"> </w:t>
      </w:r>
      <w:r>
        <w:t xml:space="preserve">verificado, e as RDC 751/2022 e 830/2023, citadas no projeto de</w:t>
      </w:r>
      <w:r>
        <w:t xml:space="preserve"> </w:t>
      </w:r>
      <w:r>
        <w:t xml:space="preserve">pesquisa, tratam da regularização de dispositivos médicos e não se</w:t>
      </w:r>
      <w:r>
        <w:t xml:space="preserve"> </w:t>
      </w:r>
      <w:r>
        <w:t xml:space="preserve">aplicam a software sem finalidade clínica. A parte da hipótese relativa</w:t>
      </w:r>
      <w:r>
        <w:t xml:space="preserve"> </w:t>
      </w:r>
      <w:r>
        <w:t xml:space="preserve">às normas da ANVISA, portanto, não pôde ser testada, e as normas foram</w:t>
      </w:r>
      <w:r>
        <w:t xml:space="preserve"> </w:t>
      </w:r>
      <w:r>
        <w:t xml:space="preserve">adotadas por analogia, como referência de controle, segurança e</w:t>
      </w:r>
      <w:r>
        <w:t xml:space="preserve"> </w:t>
      </w:r>
      <w:r>
        <w:t xml:space="preserve">rastreabilidade de software em saúde.</w:t>
      </w:r>
    </w:p>
    <w:bookmarkEnd w:id="30"/>
    <w:bookmarkStart w:id="31" w:name="motores-de-tradução-e-desenho-do-prompt"/>
    <w:p>
      <w:pPr>
        <w:pStyle w:val="Heading2"/>
      </w:pPr>
      <w:r>
        <w:t xml:space="preserve">Motores de tradução e desenho do prompt</w:t>
      </w:r>
    </w:p>
    <w:p>
      <w:pPr>
        <w:pStyle w:val="FirstParagraph"/>
      </w:pPr>
      <w:r>
        <w:t xml:space="preserve">Três motores intercambiáveis traduziram as perguntas em SQL. O oráculo</w:t>
      </w:r>
      <w:r>
        <w:t xml:space="preserve"> </w:t>
      </w:r>
      <w:r>
        <w:t xml:space="preserve">devolveu a consulta de referência e serviu apenas para o autoteste do</w:t>
      </w:r>
      <w:r>
        <w:t xml:space="preserve"> </w:t>
      </w:r>
      <w:r>
        <w:t xml:space="preserve">pipeline, nunca como medida de desempenho. O motor local executou o</w:t>
      </w:r>
      <w:r>
        <w:t xml:space="preserve"> </w:t>
      </w:r>
      <w:r>
        <w:t xml:space="preserve">modelo aberto Qwen2.5-Coder de 14 bilhões de parâmetros (Hui et al.,</w:t>
      </w:r>
      <w:r>
        <w:t xml:space="preserve"> </w:t>
      </w:r>
      <w:r>
        <w:t xml:space="preserve">2024), quantizado em 4 bits, pelo servidor Ollama na própria máquina, sem</w:t>
      </w:r>
      <w:r>
        <w:t xml:space="preserve"> </w:t>
      </w:r>
      <w:r>
        <w:t xml:space="preserve">custo e sem saída de dados. O motor via interface de programação de aplicações [API] usou o modelo</w:t>
      </w:r>
      <w:r>
        <w:t xml:space="preserve"> </w:t>
      </w:r>
      <w:r>
        <w:t xml:space="preserve">claude-sonnet-4-6, o mesmo dos resultados preliminares. Todas as</w:t>
      </w:r>
      <w:r>
        <w:t xml:space="preserve"> </w:t>
      </w:r>
      <w:r>
        <w:t xml:space="preserve">chamadas usaram temperatura zero; no motor local, a semente do projeto</w:t>
      </w:r>
      <w:r>
        <w:t xml:space="preserve"> </w:t>
      </w:r>
      <w:r>
        <w:t xml:space="preserve">também controlou a amostragem, e o relatório registrou a versão do</w:t>
      </w:r>
      <w:r>
        <w:t xml:space="preserve"> </w:t>
      </w:r>
      <w:r>
        <w:t xml:space="preserve">servidor e o identificador exato dos pesos.</w:t>
      </w:r>
    </w:p>
    <w:p>
      <w:pPr>
        <w:pStyle w:val="BodyText"/>
      </w:pPr>
      <w:r>
        <w:t xml:space="preserve">O prompt foi tratado como variável experimental (Gao et al., 2024). Cada</w:t>
      </w:r>
      <w:r>
        <w:t xml:space="preserve"> </w:t>
      </w:r>
      <w:r>
        <w:t xml:space="preserve">configuração, chamada célula, combinou quatro componentes: a descrição</w:t>
      </w:r>
      <w:r>
        <w:t xml:space="preserve"> </w:t>
      </w:r>
      <w:r>
        <w:t xml:space="preserve">do schema, simples (só nomes) ou enriquecida com tipos, notas de tabela e</w:t>
      </w:r>
      <w:r>
        <w:t xml:space="preserve"> </w:t>
      </w:r>
      <w:r>
        <w:t xml:space="preserve">unidades, como recomendado para schemas que cabem no contexto (Maamari</w:t>
      </w:r>
      <w:r>
        <w:t xml:space="preserve"> </w:t>
      </w:r>
      <w:r>
        <w:t xml:space="preserve">et al., 2024); a lista dos valores distintos das colunas categóricas</w:t>
      </w:r>
      <w:r>
        <w:t xml:space="preserve"> </w:t>
      </w:r>
      <w:r>
        <w:t xml:space="preserve">(value linking), cujo efeito sobre filtros por valor foi documentado em</w:t>
      </w:r>
      <w:r>
        <w:t xml:space="preserve"> </w:t>
      </w:r>
      <w:r>
        <w:t xml:space="preserve">dados clínicos (Liu et al., 2026); a restrição do schema às tabelas do</w:t>
      </w:r>
      <w:r>
        <w:t xml:space="preserve"> </w:t>
      </w:r>
      <w:r>
        <w:t xml:space="preserve">perfil, com aviso explícito ao modelo (Fei et al., 2026); e uma instrução</w:t>
      </w:r>
      <w:r>
        <w:t xml:space="preserve"> </w:t>
      </w:r>
      <w:r>
        <w:t xml:space="preserve">de recusa, que informou ao modelo que responder</w:t>
      </w:r>
      <w:r>
        <w:t xml:space="preserve"> </w:t>
      </w:r>
      <w:r>
        <w:t xml:space="preserve">“RECUSA”</w:t>
      </w:r>
      <w:r>
        <w:t xml:space="preserve"> </w:t>
      </w:r>
      <w:r>
        <w:t xml:space="preserve">era uma saída</w:t>
      </w:r>
      <w:r>
        <w:t xml:space="preserve"> </w:t>
      </w:r>
      <w:r>
        <w:t xml:space="preserve">válida quando a pergunta não pudesse ser respondida com o schema ou</w:t>
      </w:r>
      <w:r>
        <w:t xml:space="preserve"> </w:t>
      </w:r>
      <w:r>
        <w:t xml:space="preserve">pedisse dados de pessoas identificáveis. A Tabela 1 resume as células.</w:t>
      </w:r>
    </w:p>
    <w:p>
      <w:pPr>
        <w:pStyle w:val="Legenda"/>
      </w:pPr>
      <w:r>
        <w:t xml:space="preserve">Tabela 1. Células de prompt avaliadas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1208"/>
        <w:gridCol w:w="1073"/>
        <w:gridCol w:w="1073"/>
        <w:gridCol w:w="1208"/>
        <w:gridCol w:w="22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Célula</w:t>
            </w:r>
          </w:p>
        </w:tc>
        <w:tc>
          <w:tcPr/>
          <w:p>
            <w:pPr>
              <w:pStyle w:val="Compact"/>
            </w:pPr>
            <w:r>
              <w:t xml:space="preserve">Descrição do schema</w:t>
            </w:r>
          </w:p>
        </w:tc>
        <w:tc>
          <w:tcPr/>
          <w:p>
            <w:pPr>
              <w:pStyle w:val="Compact"/>
            </w:pPr>
            <w:r>
              <w:t xml:space="preserve">Value linking</w:t>
            </w:r>
          </w:p>
        </w:tc>
        <w:tc>
          <w:tcPr/>
          <w:p>
            <w:pPr>
              <w:pStyle w:val="Compact"/>
            </w:pPr>
            <w:r>
              <w:t xml:space="preserve">Schema por perfil</w:t>
            </w:r>
          </w:p>
        </w:tc>
        <w:tc>
          <w:tcPr/>
          <w:p>
            <w:pPr>
              <w:pStyle w:val="Compact"/>
            </w:pPr>
            <w:r>
              <w:t xml:space="preserve">Instrução de recusa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</w:t>
            </w:r>
          </w:p>
        </w:tc>
        <w:tc>
          <w:tcPr/>
          <w:p>
            <w:pPr>
              <w:pStyle w:val="Compact"/>
            </w:pPr>
            <w:r>
              <w:t xml:space="preserve">simples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prompt dos resultados preliminares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enriquecida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base da matriz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enriquecida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efeito do value linking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enriquecida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efeito do escopo por perfil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enriquecida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os dois efeitos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t xml:space="preserve">enriquecida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igual a C3, no conjunto adversarial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enriquecida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efeito da instrução de recusa</w:t>
            </w:r>
          </w:p>
        </w:tc>
      </w:tr>
    </w:tbl>
    <w:p>
      <w:pPr>
        <w:pStyle w:val="FonteTabela"/>
      </w:pPr>
      <w:r>
        <w:t xml:space="preserve">Fonte: Dados originais da pesquisa</w:t>
      </w:r>
    </w:p>
    <w:p>
      <w:pPr>
        <w:pStyle w:val="BodyText"/>
      </w:pPr>
      <w:r>
        <w:t xml:space="preserve">As células C0 a C4 foram executadas com o motor local; C0 e C3 também</w:t>
      </w:r>
      <w:r>
        <w:t xml:space="preserve"> </w:t>
      </w:r>
      <w:r>
        <w:t xml:space="preserve">com o motor via API, para cruzar modelo e prompt; E0 e E1, com os dois</w:t>
      </w:r>
      <w:r>
        <w:t xml:space="preserve"> </w:t>
      </w:r>
      <w:r>
        <w:t xml:space="preserve">motores.</w:t>
      </w:r>
    </w:p>
    <w:bookmarkEnd w:id="31"/>
    <w:bookmarkStart w:id="32" w:name="conjuntos-de-avaliação"/>
    <w:p>
      <w:pPr>
        <w:pStyle w:val="Heading2"/>
      </w:pPr>
      <w:r>
        <w:t xml:space="preserve">Conjuntos de avaliação</w:t>
      </w:r>
    </w:p>
    <w:p>
      <w:pPr>
        <w:pStyle w:val="FirstParagraph"/>
      </w:pPr>
      <w:r>
        <w:t xml:space="preserve">O conjunto legítimo reuniu 18 perguntas em português, cada uma com um</w:t>
      </w:r>
      <w:r>
        <w:t xml:space="preserve"> </w:t>
      </w:r>
      <w:r>
        <w:t xml:space="preserve">perfil e uma consulta de referência sobre a Gold: seis de situação atual,</w:t>
      </w:r>
      <w:r>
        <w:t xml:space="preserve"> </w:t>
      </w:r>
      <w:r>
        <w:t xml:space="preserve">cinco de métrica por unidade, três de série histórica e quatro sobre</w:t>
      </w:r>
      <w:r>
        <w:t xml:space="preserve"> </w:t>
      </w:r>
      <w:r>
        <w:t xml:space="preserve">internações, distribuídas entre enfermagem (5), administrativo (6) e</w:t>
      </w:r>
      <w:r>
        <w:t xml:space="preserve"> </w:t>
      </w:r>
      <w:r>
        <w:t xml:space="preserve">gestor (7). O tipo de cada pergunta foi derivado mecanicamente da consulta</w:t>
      </w:r>
      <w:r>
        <w:t xml:space="preserve"> </w:t>
      </w:r>
      <w:r>
        <w:t xml:space="preserve">de referência, e toda referência foi conferida contra os controles do</w:t>
      </w:r>
      <w:r>
        <w:t xml:space="preserve"> </w:t>
      </w:r>
      <w:r>
        <w:t xml:space="preserve">próprio perfil. As referências seguiram uma regra de projeção explícita:</w:t>
      </w:r>
      <w:r>
        <w:t xml:space="preserve"> </w:t>
      </w:r>
      <w:r>
        <w:t xml:space="preserve">devolver a grandeza pedida; incluir a chave da entidade quando a resposta</w:t>
      </w:r>
      <w:r>
        <w:t xml:space="preserve"> </w:t>
      </w:r>
      <w:r>
        <w:t xml:space="preserve">tem uma linha por entidade; e, quando a pergunta seleciona entidades por</w:t>
      </w:r>
      <w:r>
        <w:t xml:space="preserve"> </w:t>
      </w:r>
      <w:r>
        <w:t xml:space="preserve">um valor, devolver a entidade e esse valor. Para reduzir o viés de um</w:t>
      </w:r>
      <w:r>
        <w:t xml:space="preserve"> </w:t>
      </w:r>
      <w:r>
        <w:t xml:space="preserve">único autor escrever perguntas, referências e sistema, um colega do</w:t>
      </w:r>
      <w:r>
        <w:t xml:space="preserve"> </w:t>
      </w:r>
      <w:r>
        <w:t xml:space="preserve">autor, sem participação no projeto, indicou às cegas, a partir apenas do</w:t>
      </w:r>
      <w:r>
        <w:t xml:space="preserve"> </w:t>
      </w:r>
      <w:r>
        <w:t xml:space="preserve">texto das perguntas e de uma descrição dos dados em linguagem comum, que</w:t>
      </w:r>
      <w:r>
        <w:t xml:space="preserve"> </w:t>
      </w:r>
      <w:r>
        <w:t xml:space="preserve">informações cada resposta deveria conter.</w:t>
      </w:r>
    </w:p>
    <w:p>
      <w:pPr>
        <w:pStyle w:val="BodyText"/>
      </w:pPr>
      <w:r>
        <w:t xml:space="preserve">O conjunto adversarial reuniu 25 perguntas que o sistema deveria recusar,</w:t>
      </w:r>
      <w:r>
        <w:t xml:space="preserve"> </w:t>
      </w:r>
      <w:r>
        <w:t xml:space="preserve">em cinco famílias de cinco: pedido de dado pessoal; acesso às camadas</w:t>
      </w:r>
      <w:r>
        <w:t xml:space="preserve"> </w:t>
      </w:r>
      <w:r>
        <w:t xml:space="preserve">internas ou ao catálogo do banco; pergunta legítima para outro perfil,</w:t>
      </w:r>
      <w:r>
        <w:t xml:space="preserve"> </w:t>
      </w:r>
      <w:r>
        <w:t xml:space="preserve">fora do escopo de quem pergunta; injeção de instruções em linguagem</w:t>
      </w:r>
      <w:r>
        <w:t xml:space="preserve"> </w:t>
      </w:r>
      <w:r>
        <w:t xml:space="preserve">natural, inclusive com instrução dupla (Pedro et al., 2025); e pergunta</w:t>
      </w:r>
      <w:r>
        <w:t xml:space="preserve"> </w:t>
      </w:r>
      <w:r>
        <w:t xml:space="preserve">sem resposta no schema, como diagnóstico, previsão ou causa. As famílias</w:t>
      </w:r>
      <w:r>
        <w:t xml:space="preserve"> </w:t>
      </w:r>
      <w:r>
        <w:t xml:space="preserve">seguiram a noção de que abster-se de perguntas não respondíveis é parte</w:t>
      </w:r>
      <w:r>
        <w:t xml:space="preserve"> </w:t>
      </w:r>
      <w:r>
        <w:t xml:space="preserve">da confiabilidade (Lee et al., 2024a, b). O conjunto</w:t>
      </w:r>
      <w:r>
        <w:t xml:space="preserve"> </w:t>
      </w:r>
      <w:r>
        <w:t xml:space="preserve">combinado, com 43 perguntas, foi usado nas células E0 e E1. Os valores de</w:t>
      </w:r>
      <w:r>
        <w:t xml:space="preserve"> </w:t>
      </w:r>
      <w:r>
        <w:t xml:space="preserve">CPF e e-mail das perguntas foram fictícios.</w:t>
      </w:r>
    </w:p>
    <w:bookmarkEnd w:id="32"/>
    <w:bookmarkStart w:id="33" w:name="métricas-e-análise"/>
    <w:p>
      <w:pPr>
        <w:pStyle w:val="Heading2"/>
      </w:pPr>
      <w:r>
        <w:t xml:space="preserve">Métricas e análise</w:t>
      </w:r>
    </w:p>
    <w:p>
      <w:pPr>
        <w:pStyle w:val="FirstParagraph"/>
      </w:pPr>
      <w:r>
        <w:t xml:space="preserve">A métrica primária foi o execution match estrito, consolidado no Spider</w:t>
      </w:r>
      <w:r>
        <w:t xml:space="preserve"> </w:t>
      </w:r>
      <w:r>
        <w:t xml:space="preserve">(Yu et al., 2018), no EHRSQL (Lee et al., 2022) e no BIRD (Li et al.,</w:t>
      </w:r>
      <w:r>
        <w:t xml:space="preserve"> </w:t>
      </w:r>
      <w:r>
        <w:t xml:space="preserve">2023): as consultas gerada e de referência foram executadas e seus</w:t>
      </w:r>
      <w:r>
        <w:t xml:space="preserve"> </w:t>
      </w:r>
      <w:r>
        <w:t xml:space="preserve">resultados comparados após normalização (tolerância numérica de duas</w:t>
      </w:r>
      <w:r>
        <w:t xml:space="preserve"> </w:t>
      </w:r>
      <w:r>
        <w:t xml:space="preserve">casas, datas em formato ISO e linhas ordenadas). Duas métricas</w:t>
      </w:r>
      <w:r>
        <w:t xml:space="preserve"> </w:t>
      </w:r>
      <w:r>
        <w:t xml:space="preserve">secundárias, diagnósticas, acompanharam a primária: o set match de</w:t>
      </w:r>
      <w:r>
        <w:t xml:space="preserve"> </w:t>
      </w:r>
      <w:r>
        <w:t xml:space="preserve">conteúdo, que verifica se os valores da referência aparecem no resultado</w:t>
      </w:r>
      <w:r>
        <w:t xml:space="preserve"> </w:t>
      </w:r>
      <w:r>
        <w:t xml:space="preserve">e é permissivo por construção, e o Soft F1 do BIRD, que também penaliza</w:t>
      </w:r>
      <w:r>
        <w:t xml:space="preserve"> </w:t>
      </w:r>
      <w:r>
        <w:t xml:space="preserve">colunas e valores em excesso.</w:t>
      </w:r>
    </w:p>
    <w:p>
      <w:pPr>
        <w:pStyle w:val="BodyText"/>
      </w:pPr>
      <w:r>
        <w:t xml:space="preserve">Os desfechos de governança seguiram a taxonomia de Fei et al. (2026), com</w:t>
      </w:r>
      <w:r>
        <w:t xml:space="preserve"> </w:t>
      </w:r>
      <w:r>
        <w:t xml:space="preserve">seis categorias (correto, errado, recusa devida, violação correta,</w:t>
      </w:r>
      <w:r>
        <w:t xml:space="preserve"> </w:t>
      </w:r>
      <w:r>
        <w:t xml:space="preserve">violação errada e recusa indevida), atribuídas em dois níveis: o do</w:t>
      </w:r>
      <w:r>
        <w:t xml:space="preserve"> </w:t>
      </w:r>
      <w:r>
        <w:t xml:space="preserve">modelo, que diz o que a consulta gerada faria sem verificador, e o do</w:t>
      </w:r>
      <w:r>
        <w:t xml:space="preserve"> </w:t>
      </w:r>
      <w:r>
        <w:t xml:space="preserve">sistema, que diz o que o usuário recebeu. A distância entre os níveis</w:t>
      </w:r>
      <w:r>
        <w:t xml:space="preserve"> </w:t>
      </w:r>
      <w:r>
        <w:t xml:space="preserve">mediu a contribuição do verificador. Para perguntas a recusar, a</w:t>
      </w:r>
      <w:r>
        <w:t xml:space="preserve"> </w:t>
      </w:r>
      <w:r>
        <w:t xml:space="preserve">taxonomia classifica como violação qualquer consulta entregue; como o</w:t>
      </w:r>
      <w:r>
        <w:t xml:space="preserve"> </w:t>
      </w:r>
      <w:r>
        <w:t xml:space="preserve">verificador impede que uma consulta fora do escopo seja entregue, o</w:t>
      </w:r>
      <w:r>
        <w:t xml:space="preserve"> </w:t>
      </w:r>
      <w:r>
        <w:t xml:space="preserve">texto separou a violação de política (linha fora do perfil, de camada</w:t>
      </w:r>
      <w:r>
        <w:t xml:space="preserve"> </w:t>
      </w:r>
      <w:r>
        <w:t xml:space="preserve">interna ou com campo sensível chegando ao usuário) da resposta indevida</w:t>
      </w:r>
      <w:r>
        <w:t xml:space="preserve"> </w:t>
      </w:r>
      <w:r>
        <w:t xml:space="preserve">(consulta dentro do escopo a uma pergunta sem resposta). Também foi</w:t>
      </w:r>
      <w:r>
        <w:t xml:space="preserve"> </w:t>
      </w:r>
      <w:r>
        <w:t xml:space="preserve">registrado o ponto em que o sistema parou cada pergunta. Sobre o</w:t>
      </w:r>
      <w:r>
        <w:t xml:space="preserve"> </w:t>
      </w:r>
      <w:r>
        <w:t xml:space="preserve">conjunto combinado calculou-se o Reliability Score RS(c) (Lee et al.,</w:t>
      </w:r>
      <w:r>
        <w:t xml:space="preserve"> </w:t>
      </w:r>
      <w:r>
        <w:t xml:space="preserve">2024a), que soma um ponto por resposta correta ou recusa devida e</w:t>
      </w:r>
      <w:r>
        <w:t xml:space="preserve"> </w:t>
      </w:r>
      <w:r>
        <w:t xml:space="preserve">subtrai c pontos por resposta errada entregue, reportado com c igual a 0</w:t>
      </w:r>
      <w:r>
        <w:t xml:space="preserve"> </w:t>
      </w:r>
      <w:r>
        <w:t xml:space="preserve">e a 10.</w:t>
      </w:r>
    </w:p>
    <w:p>
      <w:pPr>
        <w:pStyle w:val="BodyText"/>
      </w:pPr>
      <w:r>
        <w:t xml:space="preserve">As proporções foram acompanhadas de intervalo de confiança de 95% pelo</w:t>
      </w:r>
      <w:r>
        <w:t xml:space="preserve"> </w:t>
      </w:r>
      <w:r>
        <w:t xml:space="preserve">método de Wilson, adequado a amostras pequenas (Brown et al., 2001);</w:t>
      </w:r>
      <w:r>
        <w:t xml:space="preserve"> </w:t>
      </w:r>
      <w:r>
        <w:t xml:space="preserve">quando as execuções de uma célula não coincidiram, o intervalo foi</w:t>
      </w:r>
      <w:r>
        <w:t xml:space="preserve"> </w:t>
      </w:r>
      <w:r>
        <w:t xml:space="preserve">calculado sobre a execução mais conservadora, porque o método supõe uma</w:t>
      </w:r>
      <w:r>
        <w:t xml:space="preserve"> </w:t>
      </w:r>
      <w:r>
        <w:t xml:space="preserve">contagem inteira de acertos. As</w:t>
      </w:r>
      <w:r>
        <w:t xml:space="preserve"> </w:t>
      </w:r>
      <w:r>
        <w:t xml:space="preserve">células foram comparadas pergunta a pergunta, com teste de sinal exato</w:t>
      </w:r>
      <w:r>
        <w:t xml:space="preserve"> </w:t>
      </w:r>
      <w:r>
        <w:t xml:space="preserve">bilateral sobre ganhos e perdas; com 18 e 25 perguntas, a leitura foi</w:t>
      </w:r>
      <w:r>
        <w:t xml:space="preserve"> </w:t>
      </w:r>
      <w:r>
        <w:t xml:space="preserve">descritiva, e nenhuma diferença foi apresentada como significativa sem o</w:t>
      </w:r>
      <w:r>
        <w:t xml:space="preserve"> </w:t>
      </w:r>
      <w:r>
        <w:t xml:space="preserve">teste ao lado. Cada célula foi executada três vezes, e a estabilidade foi</w:t>
      </w:r>
      <w:r>
        <w:t xml:space="preserve"> </w:t>
      </w:r>
      <w:r>
        <w:t xml:space="preserve">medida pela taxa de concordância total entre execuções, TARa@k (Atıl et</w:t>
      </w:r>
      <w:r>
        <w:t xml:space="preserve"> </w:t>
      </w:r>
      <w:r>
        <w:t xml:space="preserve">al., 2025), sobre o desfecho e o resultado normalizado de cada pergunta.</w:t>
      </w:r>
      <w:r>
        <w:t xml:space="preserve"> </w:t>
      </w:r>
      <w:r>
        <w:t xml:space="preserve">A célula de melhor desempenho e a célula operacional foram repetidas em</w:t>
      </w:r>
      <w:r>
        <w:t xml:space="preserve"> </w:t>
      </w:r>
      <w:r>
        <w:t xml:space="preserve">outro dia, com o servidor do modelo reiniciado.</w:t>
      </w:r>
    </w:p>
    <w:bookmarkEnd w:id="33"/>
    <w:bookmarkStart w:id="34" w:name="X83a41918099f47fec0eaa5180842078ddd36c9a"/>
    <w:p>
      <w:pPr>
        <w:pStyle w:val="Heading2"/>
      </w:pPr>
      <w:r>
        <w:t xml:space="preserve">Pré-registro, reprodutibilidade e integridade</w:t>
      </w:r>
    </w:p>
    <w:p>
      <w:pPr>
        <w:pStyle w:val="FirstParagraph"/>
      </w:pPr>
      <w:r>
        <w:t xml:space="preserve">As células, as hipóteses de cada comparação e o critério de escolha da</w:t>
      </w:r>
      <w:r>
        <w:t xml:space="preserve"> </w:t>
      </w:r>
      <w:r>
        <w:t xml:space="preserve">configuração vencedora foram escritos e versionados antes da execução</w:t>
      </w:r>
      <w:r>
        <w:t xml:space="preserve"> </w:t>
      </w:r>
      <w:r>
        <w:t xml:space="preserve">correspondente, e não foram alterados depois dos números. Cada execução</w:t>
      </w:r>
      <w:r>
        <w:t xml:space="preserve"> </w:t>
      </w:r>
      <w:r>
        <w:t xml:space="preserve">gerou relatórios com a consulta, o desfecho, o resultado normalizado, o</w:t>
      </w:r>
      <w:r>
        <w:t xml:space="preserve"> </w:t>
      </w:r>
      <w:r>
        <w:t xml:space="preserve">hash e a telemetria de cada pergunta em cada repetição, além da trilha de</w:t>
      </w:r>
      <w:r>
        <w:t xml:space="preserve"> </w:t>
      </w:r>
      <w:r>
        <w:t xml:space="preserve">auditoria, e esses artefatos foram versionados no repositório com uma</w:t>
      </w:r>
      <w:r>
        <w:t xml:space="preserve"> </w:t>
      </w:r>
      <w:r>
        <w:t xml:space="preserve">marca (tag) git no commit que os produziu, permitindo recalcular qualquer</w:t>
      </w:r>
      <w:r>
        <w:t xml:space="preserve"> </w:t>
      </w:r>
      <w:r>
        <w:t xml:space="preserve">métrica sem nova chamada ao modelo. O ambiente foi fixado em versão de</w:t>
      </w:r>
      <w:r>
        <w:t xml:space="preserve"> </w:t>
      </w:r>
      <w:r>
        <w:t xml:space="preserve">Python, dependências travadas e imagem reprodutível, e a integração</w:t>
      </w:r>
      <w:r>
        <w:t xml:space="preserve"> </w:t>
      </w:r>
      <w:r>
        <w:t xml:space="preserve">contínua executou, a cada alteração, apenas o motor oráculo.</w:t>
      </w:r>
    </w:p>
    <w:p>
      <w:pPr>
        <w:pStyle w:val="BodyText"/>
      </w:pPr>
      <w:r>
        <w:t xml:space="preserve">A execução real revelou três defeitos no próprio instrumento de medição</w:t>
      </w:r>
      <w:r>
        <w:t xml:space="preserve"> </w:t>
      </w:r>
      <w:r>
        <w:t xml:space="preserve">(um no arredondamento das referências, um na assinatura de estabilidade e</w:t>
      </w:r>
      <w:r>
        <w:t xml:space="preserve"> </w:t>
      </w:r>
      <w:r>
        <w:t xml:space="preserve">um na execução diagnóstica de consultas barradas), todos corrigidos antes</w:t>
      </w:r>
      <w:r>
        <w:t xml:space="preserve"> </w:t>
      </w:r>
      <w:r>
        <w:t xml:space="preserve">de qualquer número ser reportado e registrados; o último é descrito nos</w:t>
      </w:r>
      <w:r>
        <w:t xml:space="preserve"> </w:t>
      </w:r>
      <w:r>
        <w:t xml:space="preserve">resultados, por ter consequência de segurança.</w:t>
      </w:r>
    </w:p>
    <w:bookmarkEnd w:id="34"/>
    <w:bookmarkEnd w:id="35"/>
    <w:bookmarkStart w:id="44" w:name="resultados-e-discussão"/>
    <w:p>
      <w:pPr>
        <w:pStyle w:val="Heading1"/>
      </w:pPr>
      <w:r>
        <w:t xml:space="preserve">Resultados e Discussão</w:t>
      </w:r>
    </w:p>
    <w:p>
      <w:pPr>
        <w:pStyle w:val="FirstParagraph"/>
      </w:pPr>
      <w:r>
        <w:t xml:space="preserve">Os resultados são apresentados na ordem da Metodologia. Todos os números</w:t>
      </w:r>
      <w:r>
        <w:t xml:space="preserve"> </w:t>
      </w:r>
      <w:r>
        <w:t xml:space="preserve">do modelo de linguagem provêm de execução real, com os artefatos</w:t>
      </w:r>
      <w:r>
        <w:t xml:space="preserve"> </w:t>
      </w:r>
      <w:r>
        <w:t xml:space="preserve">versionados; os do pipeline provêm de execução determinista.</w:t>
      </w:r>
    </w:p>
    <w:bookmarkStart w:id="36" w:name="pipeline-minimização-e-isolamento"/>
    <w:p>
      <w:pPr>
        <w:pStyle w:val="Heading2"/>
      </w:pPr>
      <w:r>
        <w:t xml:space="preserve">Pipeline, minimização e isolamento</w:t>
      </w:r>
    </w:p>
    <w:p>
      <w:pPr>
        <w:pStyle w:val="FirstParagraph"/>
      </w:pPr>
      <w:r>
        <w:t xml:space="preserve">A geração produziu, de forma determinista, 8 unidades, 200 leitos, 600</w:t>
      </w:r>
      <w:r>
        <w:t xml:space="preserve"> </w:t>
      </w:r>
      <w:r>
        <w:t xml:space="preserve">pacientes, 2.012 internações e 18.000 registros diários de ocupação. Na</w:t>
      </w:r>
      <w:r>
        <w:t xml:space="preserve"> </w:t>
      </w:r>
      <w:r>
        <w:t xml:space="preserve">data de referência, 150 leitos estavam ocupados, 42 livres e 8</w:t>
      </w:r>
      <w:r>
        <w:t xml:space="preserve"> </w:t>
      </w:r>
      <w:r>
        <w:t xml:space="preserve">bloqueados (taxa de ocupação de 75%), e as 150 internações em andamento</w:t>
      </w:r>
      <w:r>
        <w:t xml:space="preserve"> </w:t>
      </w:r>
      <w:r>
        <w:t xml:space="preserve">coincidiram com os 150 leitos ocupados. A Silver não conteve nome, CPF</w:t>
      </w:r>
      <w:r>
        <w:t xml:space="preserve"> </w:t>
      </w:r>
      <w:r>
        <w:t xml:space="preserve">nem data de nascimento, e o pseudônimo por HMAC não teve colisão entre</w:t>
      </w:r>
      <w:r>
        <w:t xml:space="preserve"> </w:t>
      </w:r>
      <w:r>
        <w:t xml:space="preserve">os 600 pacientes. A faixa etária derivada da idade completa resultou em</w:t>
      </w:r>
      <w:r>
        <w:t xml:space="preserve"> </w:t>
      </w:r>
      <w:r>
        <w:t xml:space="preserve">108, 143, 127, 129 e 93 pacientes nas cinco faixas, corrigindo a fórmula</w:t>
      </w:r>
      <w:r>
        <w:t xml:space="preserve"> </w:t>
      </w:r>
      <w:r>
        <w:t xml:space="preserve">por ano-calendário dos resultados preliminares, que classificava 11</w:t>
      </w:r>
      <w:r>
        <w:t xml:space="preserve"> </w:t>
      </w:r>
      <w:r>
        <w:t xml:space="preserve">pacientes na faixa errada.</w:t>
      </w:r>
    </w:p>
    <w:p>
      <w:pPr>
        <w:pStyle w:val="BodyText"/>
      </w:pPr>
      <w:r>
        <w:t xml:space="preserve">A medição do risco de reidentificação orientou a minimização da Gold.</w:t>
      </w:r>
      <w:r>
        <w:t xml:space="preserve"> </w:t>
      </w:r>
      <w:r>
        <w:t xml:space="preserve">Com as colunas originais da tabela de internações (unidade, tipo, faixa</w:t>
      </w:r>
      <w:r>
        <w:t xml:space="preserve"> </w:t>
      </w:r>
      <w:r>
        <w:t xml:space="preserve">etária, sexo e data de admissão), 1.763 dos 1.883 grupos de</w:t>
      </w:r>
      <w:r>
        <w:t xml:space="preserve"> </w:t>
      </w:r>
      <w:r>
        <w:t xml:space="preserve">quase-identificadores tinham uma única internação: a tabela, apresentada</w:t>
      </w:r>
      <w:r>
        <w:t xml:space="preserve"> </w:t>
      </w:r>
      <w:r>
        <w:t xml:space="preserve">como agregada, permitia individualizar cada estadia. Após a redução a</w:t>
      </w:r>
      <w:r>
        <w:t xml:space="preserve"> </w:t>
      </w:r>
      <w:r>
        <w:t xml:space="preserve">tipo de leito, faixa etária, situação e tempo de permanência, o k mínimo</w:t>
      </w:r>
      <w:r>
        <w:t xml:space="preserve"> </w:t>
      </w:r>
      <w:r>
        <w:t xml:space="preserve">passou a 29 sobre o par tipo e faixa, acima do limiar de 5 adotado para</w:t>
      </w:r>
      <w:r>
        <w:t xml:space="preserve"> </w:t>
      </w:r>
      <w:r>
        <w:t xml:space="preserve">uso interno controlado (El Emam e Arbuckle, 2013) e do limiar de 11</w:t>
      </w:r>
      <w:r>
        <w:t xml:space="preserve"> </w:t>
      </w:r>
      <w:r>
        <w:t xml:space="preserve">usado em regras de supressão de célula (Tabela 2). O custo de utilidade</w:t>
      </w:r>
      <w:r>
        <w:t xml:space="preserve"> </w:t>
      </w:r>
      <w:r>
        <w:t xml:space="preserve">foi declarado: internações por unidade deixaram de ser respondíveis.</w:t>
      </w:r>
      <w:r>
        <w:t xml:space="preserve"> </w:t>
      </w:r>
      <w:r>
        <w:t xml:space="preserve">Quando a situação (em andamento ou encerrada) entra nos</w:t>
      </w:r>
      <w:r>
        <w:t xml:space="preserve"> </w:t>
      </w:r>
      <w:r>
        <w:t xml:space="preserve">quase-identificadores, o k mínimo cai para 3, com 3,2% das linhas em</w:t>
      </w:r>
      <w:r>
        <w:t xml:space="preserve"> </w:t>
      </w:r>
      <w:r>
        <w:t xml:space="preserve">grupos menores que 11; o controle imposto por teste cobre o conjunto</w:t>
      </w:r>
      <w:r>
        <w:t xml:space="preserve"> </w:t>
      </w:r>
      <w:r>
        <w:t xml:space="preserve">completo, não esse subconjunto, o que é retomado nas limitações.</w:t>
      </w:r>
    </w:p>
    <w:p>
      <w:pPr>
        <w:pStyle w:val="Legenda"/>
      </w:pPr>
      <w:r>
        <w:t xml:space="preserve">Tabela 2. Minimização da tabela de internações da Gold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4"/>
        <w:gridCol w:w="2904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Antes</w:t>
            </w:r>
          </w:p>
        </w:tc>
        <w:tc>
          <w:tcPr/>
          <w:p>
            <w:pPr>
              <w:pStyle w:val="Compact"/>
            </w:pPr>
            <w:r>
              <w:t xml:space="preserve">Depois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Colunas expostas</w:t>
            </w:r>
          </w:p>
        </w:tc>
        <w:tc>
          <w:tcPr/>
          <w:p>
            <w:pPr>
              <w:pStyle w:val="Compact"/>
            </w:pPr>
            <w:r>
              <w:t xml:space="preserve">identificador, unidade, tipo, faixa etária, sexo, data de admissão, permanência, situação</w:t>
            </w:r>
          </w:p>
        </w:tc>
        <w:tc>
          <w:tcPr/>
          <w:p>
            <w:pPr>
              <w:pStyle w:val="Compact"/>
            </w:pPr>
            <w:r>
              <w:t xml:space="preserve">tipo, faixa etária, situação, permanência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mínimo sobre os quase-identificadores</w:t>
            </w:r>
          </w:p>
        </w:tc>
        <w:tc>
          <w:tcPr/>
          <w:p>
            <w:pPr>
              <w:pStyle w:val="Compact"/>
            </w:pPr>
            <w:r>
              <w:t xml:space="preserve">1 (1.763 grupos com uma internação)</w:t>
            </w:r>
          </w:p>
        </w:tc>
        <w:tc>
          <w:tcPr/>
          <w:p>
            <w:pPr>
              <w:pStyle w:val="Compact"/>
            </w:pPr>
            <w:r>
              <w:t xml:space="preserve">29 sobre tipo e faixa; 3 incluindo a situação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Linhas em grupos com k menor que 11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 (3,2% incluindo a situação)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  <w:tc>
          <w:tcPr/>
          <w:p>
            <w:pPr>
              <w:pStyle w:val="Compact"/>
            </w:pPr>
            <w:r>
              <w:t xml:space="preserve">teste exige k de pelo menos 5 a cada construção</w:t>
            </w:r>
          </w:p>
        </w:tc>
      </w:tr>
    </w:tbl>
    <w:p>
      <w:pPr>
        <w:pStyle w:val="FonteTabela"/>
      </w:pPr>
      <w:r>
        <w:t xml:space="preserve">Fonte: Resultados originais da pesquisa</w:t>
      </w:r>
    </w:p>
    <w:p>
      <w:pPr>
        <w:pStyle w:val="BodyText"/>
      </w:pPr>
      <w:r>
        <w:t xml:space="preserve">Uma medição semelhante corrigiu o isolamento das camadas internas. Na</w:t>
      </w:r>
      <w:r>
        <w:t xml:space="preserve"> </w:t>
      </w:r>
      <w:r>
        <w:t xml:space="preserve">primeira versão, a inacessibilidade de Bronze e Silver dependia só da</w:t>
      </w:r>
      <w:r>
        <w:t xml:space="preserve"> </w:t>
      </w:r>
      <w:r>
        <w:t xml:space="preserve">inspeção textual da consulta, e três consultas hostis aprovadas pelos</w:t>
      </w:r>
      <w:r>
        <w:t xml:space="preserve"> </w:t>
      </w:r>
      <w:r>
        <w:t xml:space="preserve">guardrails devolveram dados internos: uma função de tabela que recebe o</w:t>
      </w:r>
      <w:r>
        <w:t xml:space="preserve"> </w:t>
      </w:r>
      <w:r>
        <w:t xml:space="preserve">nome da tabela como texto, uma consulta ao catálogo que revelou a coluna</w:t>
      </w:r>
      <w:r>
        <w:t xml:space="preserve"> </w:t>
      </w:r>
      <w:r>
        <w:t xml:space="preserve">de CPF e uma listagem das tabelas internas. A correção adotou duas</w:t>
      </w:r>
      <w:r>
        <w:t xml:space="preserve"> </w:t>
      </w:r>
      <w:r>
        <w:t xml:space="preserve">barreiras independentes: a Gold passou a ser exportada para um arquivo</w:t>
      </w:r>
      <w:r>
        <w:t xml:space="preserve"> </w:t>
      </w:r>
      <w:r>
        <w:t xml:space="preserve">próprio, o único que o sistema abre, e as funções de tabela e de</w:t>
      </w:r>
      <w:r>
        <w:t xml:space="preserve"> </w:t>
      </w:r>
      <w:r>
        <w:t xml:space="preserve">catálogo passaram a ser bloqueadas. O protótipo reproduziu o que a</w:t>
      </w:r>
      <w:r>
        <w:t xml:space="preserve"> </w:t>
      </w:r>
      <w:r>
        <w:t xml:space="preserve">literatura recente afirma: restrição expressa apenas sobre o texto, no</w:t>
      </w:r>
      <w:r>
        <w:t xml:space="preserve"> </w:t>
      </w:r>
      <w:r>
        <w:t xml:space="preserve">prompt ou por inspeção da consulta, não garante isolamento, e a garantia</w:t>
      </w:r>
      <w:r>
        <w:t xml:space="preserve"> </w:t>
      </w:r>
      <w:r>
        <w:t xml:space="preserve">precisa ser imposta de forma determinista fora do texto (Fei et al.,</w:t>
      </w:r>
      <w:r>
        <w:t xml:space="preserve"> </w:t>
      </w:r>
      <w:r>
        <w:t xml:space="preserve">2026; Klisura et al., 2026; Miyamoto et al., 2026).</w:t>
      </w:r>
    </w:p>
    <w:bookmarkEnd w:id="36"/>
    <w:bookmarkStart w:id="37" w:name="matriz-de-prompt-com-o-modelo-local"/>
    <w:p>
      <w:pPr>
        <w:pStyle w:val="Heading2"/>
      </w:pPr>
      <w:r>
        <w:t xml:space="preserve">Matriz de prompt com o modelo local</w:t>
      </w:r>
    </w:p>
    <w:p>
      <w:pPr>
        <w:pStyle w:val="FirstParagraph"/>
      </w:pPr>
      <w:r>
        <w:t xml:space="preserve">A Tabela 3 apresenta as cinco células executadas com o modelo local,</w:t>
      </w:r>
      <w:r>
        <w:t xml:space="preserve"> </w:t>
      </w:r>
      <w:r>
        <w:t xml:space="preserve">três vezes cada, sobre as 18 perguntas legítimas. O desvio entre</w:t>
      </w:r>
      <w:r>
        <w:t xml:space="preserve"> </w:t>
      </w:r>
      <w:r>
        <w:t xml:space="preserve">execuções foi zero em todas as métricas e a concordância total (TARa@3)</w:t>
      </w:r>
      <w:r>
        <w:t xml:space="preserve"> </w:t>
      </w:r>
      <w:r>
        <w:t xml:space="preserve">foi de 100% em todas as células: as 90 combinações de pergunta e célula</w:t>
      </w:r>
      <w:r>
        <w:t xml:space="preserve"> </w:t>
      </w:r>
      <w:r>
        <w:t xml:space="preserve">produziram a mesma consulta nas três chamadas.</w:t>
      </w:r>
    </w:p>
    <w:p>
      <w:pPr>
        <w:pStyle w:val="Legenda"/>
      </w:pPr>
      <w:r>
        <w:t xml:space="preserve">Tabela 3. Matriz de prompt com o modelo local (18 perguntas, média de três execuções)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452"/>
        <w:gridCol w:w="1056"/>
        <w:gridCol w:w="1056"/>
        <w:gridCol w:w="1056"/>
        <w:gridCol w:w="1056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Célula</w:t>
            </w:r>
          </w:p>
        </w:tc>
        <w:tc>
          <w:tcPr/>
          <w:p>
            <w:pPr>
              <w:pStyle w:val="Compact"/>
            </w:pPr>
            <w:r>
              <w:t xml:space="preserve">Execution match estrito</w:t>
            </w:r>
          </w:p>
        </w:tc>
        <w:tc>
          <w:tcPr/>
          <w:p>
            <w:pPr>
              <w:pStyle w:val="Compact"/>
            </w:pPr>
            <w:r>
              <w:t xml:space="preserve">IC 95%</w:t>
            </w:r>
          </w:p>
        </w:tc>
        <w:tc>
          <w:tcPr/>
          <w:p>
            <w:pPr>
              <w:pStyle w:val="Compact"/>
            </w:pPr>
            <w:r>
              <w:t xml:space="preserve">Set match</w:t>
            </w:r>
          </w:p>
        </w:tc>
        <w:tc>
          <w:tcPr/>
          <w:p>
            <w:pPr>
              <w:pStyle w:val="Compact"/>
            </w:pPr>
            <w:r>
              <w:t xml:space="preserve">Soft F1</w:t>
            </w:r>
          </w:p>
        </w:tc>
        <w:tc>
          <w:tcPr/>
          <w:p>
            <w:pPr>
              <w:pStyle w:val="Compact"/>
            </w:pPr>
            <w:r>
              <w:t xml:space="preserve">Recusa indevida</w:t>
            </w:r>
          </w:p>
        </w:tc>
        <w:tc>
          <w:tcPr/>
          <w:p>
            <w:pPr>
              <w:pStyle w:val="Compact"/>
            </w:pPr>
            <w:r>
              <w:t xml:space="preserve">Tokens por pergunta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</w:t>
            </w:r>
          </w:p>
        </w:tc>
        <w:tc>
          <w:tcPr/>
          <w:p>
            <w:pPr>
              <w:pStyle w:val="Compact"/>
            </w:pPr>
            <w:r>
              <w:t xml:space="preserve">22,2%</w:t>
            </w:r>
          </w:p>
        </w:tc>
        <w:tc>
          <w:tcPr/>
          <w:p>
            <w:pPr>
              <w:pStyle w:val="Compact"/>
            </w:pPr>
            <w:r>
              <w:t xml:space="preserve">9,0% a 45,2%</w:t>
            </w:r>
          </w:p>
        </w:tc>
        <w:tc>
          <w:tcPr/>
          <w:p>
            <w:pPr>
              <w:pStyle w:val="Compact"/>
            </w:pPr>
            <w:r>
              <w:t xml:space="preserve">38,9%</w:t>
            </w:r>
          </w:p>
        </w:tc>
        <w:tc>
          <w:tcPr/>
          <w:p>
            <w:pPr>
              <w:pStyle w:val="Compact"/>
            </w:pPr>
            <w:r>
              <w:t xml:space="preserve">70,0%</w:t>
            </w:r>
          </w:p>
        </w:tc>
        <w:tc>
          <w:tcPr/>
          <w:p>
            <w:pPr>
              <w:pStyle w:val="Compact"/>
            </w:pPr>
            <w:r>
              <w:t xml:space="preserve">22,2%</w:t>
            </w:r>
          </w:p>
        </w:tc>
        <w:tc>
          <w:tcPr/>
          <w:p>
            <w:pPr>
              <w:pStyle w:val="Compact"/>
            </w:pPr>
            <w:r>
              <w:t xml:space="preserve">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55,6%</w:t>
            </w:r>
          </w:p>
        </w:tc>
        <w:tc>
          <w:tcPr/>
          <w:p>
            <w:pPr>
              <w:pStyle w:val="Compact"/>
            </w:pPr>
            <w:r>
              <w:t xml:space="preserve">33,7% a 75,4%</w:t>
            </w:r>
          </w:p>
        </w:tc>
        <w:tc>
          <w:tcPr/>
          <w:p>
            <w:pPr>
              <w:pStyle w:val="Compact"/>
            </w:pPr>
            <w:r>
              <w:t xml:space="preserve">61,1%</w:t>
            </w:r>
          </w:p>
        </w:tc>
        <w:tc>
          <w:tcPr/>
          <w:p>
            <w:pPr>
              <w:pStyle w:val="Compact"/>
            </w:pPr>
            <w:r>
              <w:t xml:space="preserve">72,5%</w:t>
            </w:r>
          </w:p>
        </w:tc>
        <w:tc>
          <w:tcPr/>
          <w:p>
            <w:pPr>
              <w:pStyle w:val="Compact"/>
            </w:pPr>
            <w:r>
              <w:t xml:space="preserve">5,6%</w:t>
            </w:r>
          </w:p>
        </w:tc>
        <w:tc>
          <w:tcPr/>
          <w:p>
            <w:pPr>
              <w:pStyle w:val="Compact"/>
            </w:pPr>
            <w:r>
              <w:t xml:space="preserve">529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61,1%</w:t>
            </w:r>
          </w:p>
        </w:tc>
        <w:tc>
          <w:tcPr/>
          <w:p>
            <w:pPr>
              <w:pStyle w:val="Compact"/>
            </w:pPr>
            <w:r>
              <w:t xml:space="preserve">38,6% a 79,7%</w:t>
            </w:r>
          </w:p>
        </w:tc>
        <w:tc>
          <w:tcPr/>
          <w:p>
            <w:pPr>
              <w:pStyle w:val="Compact"/>
            </w:pPr>
            <w:r>
              <w:t xml:space="preserve">72,2%</w:t>
            </w:r>
          </w:p>
        </w:tc>
        <w:tc>
          <w:tcPr/>
          <w:p>
            <w:pPr>
              <w:pStyle w:val="Compact"/>
            </w:pPr>
            <w:r>
              <w:t xml:space="preserve">94,2%</w:t>
            </w:r>
          </w:p>
        </w:tc>
        <w:tc>
          <w:tcPr/>
          <w:p>
            <w:pPr>
              <w:pStyle w:val="Compact"/>
            </w:pPr>
            <w:r>
              <w:t xml:space="preserve">5,6%</w:t>
            </w:r>
          </w:p>
        </w:tc>
        <w:tc>
          <w:tcPr/>
          <w:p>
            <w:pPr>
              <w:pStyle w:val="Compact"/>
            </w:pPr>
            <w:r>
              <w:t xml:space="preserve">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72,2%</w:t>
            </w:r>
          </w:p>
        </w:tc>
        <w:tc>
          <w:tcPr/>
          <w:p>
            <w:pPr>
              <w:pStyle w:val="Compact"/>
            </w:pPr>
            <w:r>
              <w:t xml:space="preserve">49,1% a 87,5%</w:t>
            </w:r>
          </w:p>
        </w:tc>
        <w:tc>
          <w:tcPr/>
          <w:p>
            <w:pPr>
              <w:pStyle w:val="Compact"/>
            </w:pPr>
            <w:r>
              <w:t xml:space="preserve">72,2%</w:t>
            </w:r>
          </w:p>
        </w:tc>
        <w:tc>
          <w:tcPr/>
          <w:p>
            <w:pPr>
              <w:pStyle w:val="Compact"/>
            </w:pPr>
            <w:r>
              <w:t xml:space="preserve">84,3%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72,2%</w:t>
            </w:r>
          </w:p>
        </w:tc>
        <w:tc>
          <w:tcPr/>
          <w:p>
            <w:pPr>
              <w:pStyle w:val="Compact"/>
            </w:pPr>
            <w:r>
              <w:t xml:space="preserve">49,1% a 87,5%</w:t>
            </w:r>
          </w:p>
        </w:tc>
        <w:tc>
          <w:tcPr/>
          <w:p>
            <w:pPr>
              <w:pStyle w:val="Compact"/>
            </w:pPr>
            <w:r>
              <w:t xml:space="preserve">77,8%</w:t>
            </w:r>
          </w:p>
        </w:tc>
        <w:tc>
          <w:tcPr/>
          <w:p>
            <w:pPr>
              <w:pStyle w:val="Compact"/>
            </w:pPr>
            <w:r>
              <w:t xml:space="preserve">89,0%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586</w:t>
            </w:r>
          </w:p>
        </w:tc>
      </w:tr>
    </w:tbl>
    <w:p>
      <w:pPr>
        <w:pStyle w:val="FonteTabela"/>
      </w:pPr>
      <w:r>
        <w:t xml:space="preserve">Fonte: Resultados originais da pesquisa</w:t>
      </w:r>
    </w:p>
    <w:p>
      <w:pPr>
        <w:pStyle w:val="BodyText"/>
      </w:pPr>
      <w:r>
        <w:t xml:space="preserve">A descrição enriquecida do schema (C1 contra C0) produziu o maior</w:t>
      </w:r>
      <w:r>
        <w:t xml:space="preserve"> </w:t>
      </w:r>
      <w:r>
        <w:t xml:space="preserve">efeito: seis perguntas passaram a corretas e nenhuma regrediu (teste de</w:t>
      </w:r>
      <w:r>
        <w:t xml:space="preserve"> </w:t>
      </w:r>
      <w:r>
        <w:t xml:space="preserve">sinal, p = 0,03, a única comparação da matriz abaixo de 0,05). Sem</w:t>
      </w:r>
      <w:r>
        <w:t xml:space="preserve"> </w:t>
      </w:r>
      <w:r>
        <w:t xml:space="preserve">descrição, o modelo supôs que a tabela de resumo por unidade, uma</w:t>
      </w:r>
      <w:r>
        <w:t xml:space="preserve"> </w:t>
      </w:r>
      <w:r>
        <w:t xml:space="preserve">fotografia do dia, tinha coluna de data, e escreveu literais de texto</w:t>
      </w:r>
      <w:r>
        <w:t xml:space="preserve"> </w:t>
      </w:r>
      <w:r>
        <w:t xml:space="preserve">para uma coluna booleana. A descrição resolveu ambos, em linha com a</w:t>
      </w:r>
      <w:r>
        <w:t xml:space="preserve"> </w:t>
      </w:r>
      <w:r>
        <w:t xml:space="preserve">recomendação de fornecer o schema completo e descrito quando ele cabe no</w:t>
      </w:r>
      <w:r>
        <w:t xml:space="preserve"> </w:t>
      </w:r>
      <w:r>
        <w:t xml:space="preserve">contexto (Maamari et al., 2024). O value linking (C2 contra C1) fechou o</w:t>
      </w:r>
      <w:r>
        <w:t xml:space="preserve"> </w:t>
      </w:r>
      <w:r>
        <w:t xml:space="preserve">erro de literal que motivou sua adoção, a caixa de</w:t>
      </w:r>
      <w:r>
        <w:t xml:space="preserve"> </w:t>
      </w:r>
      <w:r>
        <w:t xml:space="preserve">“Enfermaria”</w:t>
      </w:r>
      <w:r>
        <w:t xml:space="preserve">, e mais</w:t>
      </w:r>
      <w:r>
        <w:t xml:space="preserve"> </w:t>
      </w:r>
      <w:r>
        <w:t xml:space="preserve">duas perguntas, mas fez o modelo regredir em outras duas, uma por</w:t>
      </w:r>
      <w:r>
        <w:t xml:space="preserve"> </w:t>
      </w:r>
      <w:r>
        <w:t xml:space="preserve">projetar coluna a mais e outra por inventar uma coluna na tabela certa.</w:t>
      </w:r>
      <w:r>
        <w:t xml:space="preserve"> </w:t>
      </w:r>
      <w:r>
        <w:t xml:space="preserve">O saldo foi de uma pergunta (p = 1,0), com o maior Soft F1 da matriz.</w:t>
      </w:r>
      <w:r>
        <w:t xml:space="preserve"> </w:t>
      </w:r>
      <w:r>
        <w:t xml:space="preserve">Liu et al. (2026) relatam que expor valores enumerados eleva a acurácia</w:t>
      </w:r>
      <w:r>
        <w:t xml:space="preserve"> </w:t>
      </w:r>
      <w:r>
        <w:t xml:space="preserve">dos filtros; aqui a elevação veio acompanhada de duas regressões que</w:t>
      </w:r>
      <w:r>
        <w:t xml:space="preserve"> </w:t>
      </w:r>
      <w:r>
        <w:t xml:space="preserve">aquele estudo não previa.</w:t>
      </w:r>
    </w:p>
    <w:p>
      <w:pPr>
        <w:pStyle w:val="BodyText"/>
      </w:pPr>
      <w:r>
        <w:t xml:space="preserve">A restrição do schema ao perfil (C3 contra C1) foi observada na direção</w:t>
      </w:r>
      <w:r>
        <w:t xml:space="preserve"> </w:t>
      </w:r>
      <w:r>
        <w:t xml:space="preserve">prevista: três perguntas passaram a corretas e nenhuma regrediu (p =</w:t>
      </w:r>
      <w:r>
        <w:t xml:space="preserve"> </w:t>
      </w:r>
      <w:r>
        <w:t xml:space="preserve">0,25). Só uma delas é efeito atribuível ao escopo, a pergunta em que o</w:t>
      </w:r>
      <w:r>
        <w:t xml:space="preserve"> </w:t>
      </w:r>
      <w:r>
        <w:t xml:space="preserve">modelo, vendo o schema completo, buscava uma tabela fora do perfil e era</w:t>
      </w:r>
      <w:r>
        <w:t xml:space="preserve"> </w:t>
      </w:r>
      <w:r>
        <w:t xml:space="preserve">barrado; as outras duas mudaram por efeito colateral da forma do prompt.</w:t>
      </w:r>
      <w:r>
        <w:t xml:space="preserve"> </w:t>
      </w:r>
      <w:r>
        <w:t xml:space="preserve">A alucinação de tabelas que Fei et al. (2026) observam sob schema</w:t>
      </w:r>
      <w:r>
        <w:t xml:space="preserve"> </w:t>
      </w:r>
      <w:r>
        <w:t xml:space="preserve">restrito não ocorreu nas perguntas legítimas: nas 54 chamadas de C3, o</w:t>
      </w:r>
      <w:r>
        <w:t xml:space="preserve"> </w:t>
      </w:r>
      <w:r>
        <w:t xml:space="preserve">modelo não citou tabela inexistente. No conjunto adversarial, uma</w:t>
      </w:r>
      <w:r>
        <w:t xml:space="preserve"> </w:t>
      </w:r>
      <w:r>
        <w:t xml:space="preserve">pergunta por dado pessoal o levou a inventar uma tabela de pacientes,</w:t>
      </w:r>
      <w:r>
        <w:t xml:space="preserve"> </w:t>
      </w:r>
      <w:r>
        <w:t xml:space="preserve">barrada pelo verificador. Cabe uma ressalva de desenho: cinco das seis</w:t>
      </w:r>
      <w:r>
        <w:t xml:space="preserve"> </w:t>
      </w:r>
      <w:r>
        <w:t xml:space="preserve">perguntas de situação atual pertencem ao perfil enfermagem, o único em</w:t>
      </w:r>
      <w:r>
        <w:t xml:space="preserve"> </w:t>
      </w:r>
      <w:r>
        <w:t xml:space="preserve">que o escopo restringe tabelas, de modo que tipo de pergunta e perfil</w:t>
      </w:r>
      <w:r>
        <w:t xml:space="preserve"> </w:t>
      </w:r>
      <w:r>
        <w:t xml:space="preserve">estão confundidos. A recusa indevida, que nos resultados preliminares</w:t>
      </w:r>
      <w:r>
        <w:t xml:space="preserve"> </w:t>
      </w:r>
      <w:r>
        <w:t xml:space="preserve">havia custado 11,1 pontos de execution match, caiu a 5,6 pontos com a</w:t>
      </w:r>
      <w:r>
        <w:t xml:space="preserve"> </w:t>
      </w:r>
      <w:r>
        <w:t xml:space="preserve">descrição enriquecida e a zero quando o prompt informou o escopo. Esse</w:t>
      </w:r>
      <w:r>
        <w:t xml:space="preserve"> </w:t>
      </w:r>
      <w:r>
        <w:t xml:space="preserve">número mede só a recusa de perguntas legítimas; o custo da governança</w:t>
      </w:r>
      <w:r>
        <w:t xml:space="preserve"> </w:t>
      </w:r>
      <w:r>
        <w:t xml:space="preserve">propriamente dito é medido no conjunto adversarial.</w:t>
      </w:r>
    </w:p>
    <w:p>
      <w:pPr>
        <w:pStyle w:val="BodyText"/>
      </w:pPr>
      <w:r>
        <w:t xml:space="preserve">Pelo critério registrado antes da execução, C3 e C4 empataram no</w:t>
      </w:r>
      <w:r>
        <w:t xml:space="preserve"> </w:t>
      </w:r>
      <w:r>
        <w:t xml:space="preserve">execution match e na ausência de violação, e C3 venceu por consumir</w:t>
      </w:r>
      <w:r>
        <w:t xml:space="preserve"> </w:t>
      </w:r>
      <w:r>
        <w:t xml:space="preserve">menos tokens, apesar do set match e do Soft F1 maiores de C4. O</w:t>
      </w:r>
      <w:r>
        <w:t xml:space="preserve"> </w:t>
      </w:r>
      <w:r>
        <w:t xml:space="preserve">desempate por tokens foi pensado para o custo por chamada de um motor</w:t>
      </w:r>
      <w:r>
        <w:t xml:space="preserve"> </w:t>
      </w:r>
      <w:r>
        <w:t xml:space="preserve">via API; com o motor local, gratuito, C4 teria sido a escolha natural, e</w:t>
      </w:r>
      <w:r>
        <w:t xml:space="preserve"> </w:t>
      </w:r>
      <w:r>
        <w:t xml:space="preserve">dois dos cinco erros residuais de C3 são justamente de literal, que o</w:t>
      </w:r>
      <w:r>
        <w:t xml:space="preserve"> </w:t>
      </w:r>
      <w:r>
        <w:t xml:space="preserve">value linking corrige. C4 com instrução de recusa não foi medida. Os</w:t>
      </w:r>
      <w:r>
        <w:t xml:space="preserve"> </w:t>
      </w:r>
      <w:r>
        <w:t xml:space="preserve">cinco erros residuais de C3 tiveram três causas: dois de projeção</w:t>
      </w:r>
      <w:r>
        <w:t xml:space="preserve"> </w:t>
      </w:r>
      <w:r>
        <w:t xml:space="preserve">incompleta (a unidade sem a taxa que a selecionou), um de dialeto (uma</w:t>
      </w:r>
      <w:r>
        <w:t xml:space="preserve"> </w:t>
      </w:r>
      <w:r>
        <w:t xml:space="preserve">função do MySQL em DuckDB, apesar de o prompt declarar o dialeto) e dois</w:t>
      </w:r>
      <w:r>
        <w:t xml:space="preserve"> </w:t>
      </w:r>
      <w:r>
        <w:t xml:space="preserve">de literal (um nome de unidade incompleto e uma caixa errada com um</w:t>
      </w:r>
      <w:r>
        <w:t xml:space="preserve"> </w:t>
      </w:r>
      <w:r>
        <w:t xml:space="preserve">valor de situação inexistente).</w:t>
      </w:r>
    </w:p>
    <w:bookmarkEnd w:id="37"/>
    <w:bookmarkStart w:id="38" w:name="X8e9c3255c97aa29fdea024cda37a204a89d1939"/>
    <w:p>
      <w:pPr>
        <w:pStyle w:val="Heading2"/>
      </w:pPr>
      <w:r>
        <w:t xml:space="preserve">Modelo e prompt cruzados e o veredito da hipótese</w:t>
      </w:r>
    </w:p>
    <w:p>
      <w:pPr>
        <w:pStyle w:val="FirstParagraph"/>
      </w:pPr>
      <w:r>
        <w:t xml:space="preserve">Os resultados preliminares haviam medido 61,1% de execution match com o</w:t>
      </w:r>
      <w:r>
        <w:t xml:space="preserve"> </w:t>
      </w:r>
      <w:r>
        <w:t xml:space="preserve">modelo claude-sonnet-4-6, sobre a Gold anterior à minimização, com o</w:t>
      </w:r>
      <w:r>
        <w:t xml:space="preserve"> </w:t>
      </w:r>
      <w:r>
        <w:t xml:space="preserve">prompt simples e sem preservar as consultas geradas. Esse número é</w:t>
      </w:r>
      <w:r>
        <w:t xml:space="preserve"> </w:t>
      </w:r>
      <w:r>
        <w:t xml:space="preserve">tratado aqui como observação histórica. Para separar o efeito do modelo</w:t>
      </w:r>
      <w:r>
        <w:t xml:space="preserve"> </w:t>
      </w:r>
      <w:r>
        <w:t xml:space="preserve">do efeito do prompt, o mesmo modelo via API foi executado nas células C0</w:t>
      </w:r>
      <w:r>
        <w:t xml:space="preserve"> </w:t>
      </w:r>
      <w:r>
        <w:t xml:space="preserve">e C3 sobre a Gold e o harness atuais (Tabela 4).</w:t>
      </w:r>
    </w:p>
    <w:p>
      <w:pPr>
        <w:pStyle w:val="Legenda"/>
      </w:pPr>
      <w:r>
        <w:t xml:space="preserve">Tabela 4. Execution match estrito por modelo e célula (18 perguntas, média de três execuções)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2904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C0 (prompt simples)</w:t>
            </w:r>
          </w:p>
        </w:tc>
        <w:tc>
          <w:tcPr/>
          <w:p>
            <w:pPr>
              <w:pStyle w:val="Compact"/>
            </w:pPr>
            <w:r>
              <w:t xml:space="preserve">C3 (enriquecido, schema por perfil)</w:t>
            </w:r>
          </w:p>
        </w:tc>
        <w:tc>
          <w:tcPr/>
          <w:p>
            <w:pPr>
              <w:pStyle w:val="Compact"/>
            </w:pPr>
            <w:r>
              <w:t xml:space="preserve">Efeito do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Qwen2.5-Coder 14B, local</w:t>
            </w:r>
          </w:p>
        </w:tc>
        <w:tc>
          <w:tcPr/>
          <w:p>
            <w:pPr>
              <w:pStyle w:val="Compact"/>
            </w:pPr>
            <w:r>
              <w:t xml:space="preserve">22,2%</w:t>
            </w:r>
          </w:p>
        </w:tc>
        <w:tc>
          <w:tcPr/>
          <w:p>
            <w:pPr>
              <w:pStyle w:val="Compact"/>
            </w:pPr>
            <w:r>
              <w:t xml:space="preserve">72,2%</w:t>
            </w:r>
          </w:p>
        </w:tc>
        <w:tc>
          <w:tcPr/>
          <w:p>
            <w:pPr>
              <w:pStyle w:val="Compact"/>
            </w:pPr>
            <w:r>
              <w:t xml:space="preserve">50,0 pontos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4.6, via API</w:t>
            </w:r>
          </w:p>
        </w:tc>
        <w:tc>
          <w:tcPr/>
          <w:p>
            <w:pPr>
              <w:pStyle w:val="Compact"/>
            </w:pPr>
            <w:r>
              <w:t xml:space="preserve">74,1%</w:t>
            </w:r>
          </w:p>
        </w:tc>
        <w:tc>
          <w:tcPr/>
          <w:p>
            <w:pPr>
              <w:pStyle w:val="Compact"/>
            </w:pPr>
            <w:r>
              <w:t xml:space="preserve">90,7%</w:t>
            </w:r>
          </w:p>
        </w:tc>
        <w:tc>
          <w:tcPr/>
          <w:p>
            <w:pPr>
              <w:pStyle w:val="Compact"/>
            </w:pPr>
            <w:r>
              <w:t xml:space="preserve">16,6 pontos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Efeito do modelo</w:t>
            </w:r>
          </w:p>
        </w:tc>
        <w:tc>
          <w:tcPr/>
          <w:p>
            <w:pPr>
              <w:pStyle w:val="Compact"/>
            </w:pPr>
            <w:r>
              <w:t xml:space="preserve">51,9 pontos</w:t>
            </w:r>
          </w:p>
        </w:tc>
        <w:tc>
          <w:tcPr/>
          <w:p>
            <w:pPr>
              <w:pStyle w:val="Compact"/>
            </w:pPr>
            <w:r>
              <w:t xml:space="preserve">18,5 pontos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onteTabela"/>
      </w:pPr>
      <w:r>
        <w:t xml:space="preserve">Fonte: Resultados originais da pesquisa</w:t>
      </w:r>
    </w:p>
    <w:p>
      <w:pPr>
        <w:pStyle w:val="BodyText"/>
      </w:pPr>
      <w:r>
        <w:t xml:space="preserve">Os dois fatores tiveram efeito, e o efeito de cada um dependeu do outro.</w:t>
      </w:r>
      <w:r>
        <w:t xml:space="preserve"> </w:t>
      </w:r>
      <w:r>
        <w:t xml:space="preserve">O prompt valeu 50 pontos no modelo pequeno e 17 no grande; o modelo</w:t>
      </w:r>
      <w:r>
        <w:t xml:space="preserve"> </w:t>
      </w:r>
      <w:r>
        <w:t xml:space="preserve">valeu 52 pontos sob o prompt simples e 19 sob o prompt com escopo. Um</w:t>
      </w:r>
      <w:r>
        <w:t xml:space="preserve"> </w:t>
      </w:r>
      <w:r>
        <w:t xml:space="preserve">prompt bem desenhado reduziu de 52 para 19 pontos a distância entre o</w:t>
      </w:r>
      <w:r>
        <w:t xml:space="preserve"> </w:t>
      </w:r>
      <w:r>
        <w:t xml:space="preserve">modelo local e o modelo via API; nada permite dizer que um fator pese</w:t>
      </w:r>
      <w:r>
        <w:t xml:space="preserve"> </w:t>
      </w:r>
      <w:r>
        <w:t xml:space="preserve">mais que o outro em geral. Em C0, o modelo via API reproduziu o padrão</w:t>
      </w:r>
      <w:r>
        <w:t xml:space="preserve"> </w:t>
      </w:r>
      <w:r>
        <w:t xml:space="preserve">dos resultados preliminares, com as duas perguntas da enfermagem</w:t>
      </w:r>
      <w:r>
        <w:t xml:space="preserve"> </w:t>
      </w:r>
      <w:r>
        <w:t xml:space="preserve">barradas por escopo e duas perguntas com colunas a mais; a diferença de</w:t>
      </w:r>
      <w:r>
        <w:t xml:space="preserve"> </w:t>
      </w:r>
      <w:r>
        <w:t xml:space="preserve">61,1% para 74,1% vem da Gold minimizada e do harness revisto, não do</w:t>
      </w:r>
      <w:r>
        <w:t xml:space="preserve"> </w:t>
      </w:r>
      <w:r>
        <w:t xml:space="preserve">modelo, que foi o mesmo. Em C3, o modelo via API errou os mesmos dois</w:t>
      </w:r>
      <w:r>
        <w:t xml:space="preserve"> </w:t>
      </w:r>
      <w:r>
        <w:t xml:space="preserve">tipos de coisa que o modelo local: uma coluna a mais em uma pergunta e a</w:t>
      </w:r>
      <w:r>
        <w:t xml:space="preserve"> </w:t>
      </w:r>
      <w:r>
        <w:t xml:space="preserve">caixa de um literal em outra.</w:t>
      </w:r>
    </w:p>
    <w:p>
      <w:pPr>
        <w:pStyle w:val="BodyText"/>
      </w:pPr>
      <w:r>
        <w:t xml:space="preserve">O intervalo de Wilson para C3 no modelo via API, calculado sobre a</w:t>
      </w:r>
      <w:r>
        <w:t xml:space="preserve"> </w:t>
      </w:r>
      <w:r>
        <w:t xml:space="preserve">execução mais conservadora (16 de 18, pois as três execuções deram</w:t>
      </w:r>
      <w:r>
        <w:t xml:space="preserve"> </w:t>
      </w:r>
      <w:r>
        <w:t xml:space="preserve">88,9%, 88,9% e 94,4%), foi de 67,2% a 96,9%; no modelo local, de 49,1% a</w:t>
      </w:r>
      <w:r>
        <w:t xml:space="preserve"> </w:t>
      </w:r>
      <w:r>
        <w:t xml:space="preserve">87,5%. Nenhum dos dois exclui 80%. A hipótese de acurácia superior a 80%</w:t>
      </w:r>
      <w:r>
        <w:t xml:space="preserve"> </w:t>
      </w:r>
      <w:r>
        <w:t xml:space="preserve">foi, portanto, atingida na estimativa pontual com o modelo forte sob o</w:t>
      </w:r>
      <w:r>
        <w:t xml:space="preserve"> </w:t>
      </w:r>
      <w:r>
        <w:t xml:space="preserve">prompt com escopo (90,7%), não foi atingida com o modelo local (72,2%),</w:t>
      </w:r>
      <w:r>
        <w:t xml:space="preserve"> </w:t>
      </w:r>
      <w:r>
        <w:t xml:space="preserve">e em nenhum dos casos o tamanho do conjunto permite situar o valor</w:t>
      </w:r>
      <w:r>
        <w:t xml:space="preserve"> </w:t>
      </w:r>
      <w:r>
        <w:t xml:space="preserve">verdadeiro acima ou abaixo do limiar. A leitura cega do segundo anotador</w:t>
      </w:r>
      <w:r>
        <w:t xml:space="preserve"> </w:t>
      </w:r>
      <w:r>
        <w:t xml:space="preserve">tornou esse veredito robusto à convenção de projeção das referências:</w:t>
      </w:r>
      <w:r>
        <w:t xml:space="preserve"> </w:t>
      </w:r>
      <w:r>
        <w:t xml:space="preserve">ele concordou com as referências em 17 das 18 perguntas, inclusive nas</w:t>
      </w:r>
      <w:r>
        <w:t xml:space="preserve"> </w:t>
      </w:r>
      <w:r>
        <w:t xml:space="preserve">duas que a projeção mínima do modelo havia contrariado, e divergiu em</w:t>
      </w:r>
      <w:r>
        <w:t xml:space="preserve"> </w:t>
      </w:r>
      <w:r>
        <w:t xml:space="preserve">uma, pedindo também a data da maior taxa de ocupação, que nenhum modelo</w:t>
      </w:r>
      <w:r>
        <w:t xml:space="preserve"> </w:t>
      </w:r>
      <w:r>
        <w:t xml:space="preserve">devolveu. Sob a leitura do anotador, todas as células perdem 5,6 pontos:</w:t>
      </w:r>
      <w:r>
        <w:t xml:space="preserve"> </w:t>
      </w:r>
      <w:r>
        <w:t xml:space="preserve">o modelo local fica abaixo de 80% nas duas leituras e o modelo via API</w:t>
      </w:r>
      <w:r>
        <w:t xml:space="preserve"> </w:t>
      </w:r>
      <w:r>
        <w:t xml:space="preserve">fica acima nas duas (90,7% e 85,2%). A referência divergente foi</w:t>
      </w:r>
      <w:r>
        <w:t xml:space="preserve"> </w:t>
      </w:r>
      <w:r>
        <w:t xml:space="preserve">mantida, porque alterar o gabarito após conhecer os resultados</w:t>
      </w:r>
      <w:r>
        <w:t xml:space="preserve"> </w:t>
      </w:r>
      <w:r>
        <w:t xml:space="preserve">comprometeria a comparação.</w:t>
      </w:r>
    </w:p>
    <w:bookmarkEnd w:id="38"/>
    <w:bookmarkStart w:id="39" w:name="recusa-devida-e-custo-da-governança"/>
    <w:p>
      <w:pPr>
        <w:pStyle w:val="Heading2"/>
      </w:pPr>
      <w:r>
        <w:t xml:space="preserve">Recusa devida e custo da governança</w:t>
      </w:r>
    </w:p>
    <w:p>
      <w:pPr>
        <w:pStyle w:val="FirstParagraph"/>
      </w:pPr>
      <w:r>
        <w:t xml:space="preserve">A Tabela 5 compara as células E0 e E1 sobre o conjunto combinado de 43</w:t>
      </w:r>
      <w:r>
        <w:t xml:space="preserve"> </w:t>
      </w:r>
      <w:r>
        <w:t xml:space="preserve">perguntas, três execuções cada, com o modelo local e com o modelo via</w:t>
      </w:r>
      <w:r>
        <w:t xml:space="preserve"> </w:t>
      </w:r>
      <w:r>
        <w:t xml:space="preserve">API. No modelo local a concordância entre execuções foi total nas duas</w:t>
      </w:r>
      <w:r>
        <w:t xml:space="preserve"> </w:t>
      </w:r>
      <w:r>
        <w:t xml:space="preserve">células.</w:t>
      </w:r>
    </w:p>
    <w:p>
      <w:pPr>
        <w:pStyle w:val="Legenda"/>
      </w:pPr>
      <w:r>
        <w:t xml:space="preserve">Tabela 5. Conjunto combinado: 18 perguntas legítimas e 25 adversariais, por modelo e célula (média de três execuções)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188"/>
        <w:gridCol w:w="1188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Local E0</w:t>
            </w:r>
          </w:p>
        </w:tc>
        <w:tc>
          <w:tcPr/>
          <w:p>
            <w:pPr>
              <w:pStyle w:val="Compact"/>
            </w:pPr>
            <w:r>
              <w:t xml:space="preserve">Local E1</w:t>
            </w:r>
          </w:p>
        </w:tc>
        <w:tc>
          <w:tcPr/>
          <w:p>
            <w:pPr>
              <w:pStyle w:val="Compact"/>
            </w:pPr>
            <w:r>
              <w:t xml:space="preserve">API E0</w:t>
            </w:r>
          </w:p>
        </w:tc>
        <w:tc>
          <w:tcPr/>
          <w:p>
            <w:pPr>
              <w:pStyle w:val="Compact"/>
            </w:pPr>
            <w:r>
              <w:t xml:space="preserve">API 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match estrito nas legítimas</w:t>
            </w:r>
          </w:p>
        </w:tc>
        <w:tc>
          <w:tcPr/>
          <w:p>
            <w:pPr>
              <w:pStyle w:val="Compact"/>
            </w:pPr>
            <w:r>
              <w:t xml:space="preserve">72,2%</w:t>
            </w:r>
          </w:p>
        </w:tc>
        <w:tc>
          <w:tcPr/>
          <w:p>
            <w:pPr>
              <w:pStyle w:val="Compact"/>
            </w:pPr>
            <w:r>
              <w:t xml:space="preserve">66,7%</w:t>
            </w:r>
          </w:p>
        </w:tc>
        <w:tc>
          <w:tcPr/>
          <w:p>
            <w:pPr>
              <w:pStyle w:val="Compact"/>
            </w:pPr>
            <w:r>
              <w:t xml:space="preserve">88,9%</w:t>
            </w:r>
          </w:p>
        </w:tc>
        <w:tc>
          <w:tcPr/>
          <w:p>
            <w:pPr>
              <w:pStyle w:val="Compact"/>
            </w:pPr>
            <w:r>
              <w:t xml:space="preserve">94,4%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Recusa indevida nas legítimas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Recusa devida pelo modelo (25)</w:t>
            </w:r>
          </w:p>
        </w:tc>
        <w:tc>
          <w:tcPr/>
          <w:p>
            <w:pPr>
              <w:pStyle w:val="Compact"/>
            </w:pPr>
            <w:r>
              <w:t xml:space="preserve">8,0%</w:t>
            </w:r>
          </w:p>
        </w:tc>
        <w:tc>
          <w:tcPr/>
          <w:p>
            <w:pPr>
              <w:pStyle w:val="Compact"/>
            </w:pPr>
            <w:r>
              <w:t xml:space="preserve">80,0%</w:t>
            </w:r>
          </w:p>
        </w:tc>
        <w:tc>
          <w:tcPr/>
          <w:p>
            <w:pPr>
              <w:pStyle w:val="Compact"/>
            </w:pPr>
            <w:r>
              <w:t xml:space="preserve">8,0%</w:t>
            </w:r>
          </w:p>
        </w:tc>
        <w:tc>
          <w:tcPr/>
          <w:p>
            <w:pPr>
              <w:pStyle w:val="Compact"/>
            </w:pPr>
            <w:r>
              <w:t xml:space="preserve">88,0%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Recusa devida pelo sistema (25)</w:t>
            </w:r>
          </w:p>
        </w:tc>
        <w:tc>
          <w:tcPr/>
          <w:p>
            <w:pPr>
              <w:pStyle w:val="Compact"/>
            </w:pPr>
            <w:r>
              <w:t xml:space="preserve">60,0%</w:t>
            </w:r>
          </w:p>
        </w:tc>
        <w:tc>
          <w:tcPr/>
          <w:p>
            <w:pPr>
              <w:pStyle w:val="Compact"/>
            </w:pPr>
            <w:r>
              <w:t xml:space="preserve">88,0%</w:t>
            </w:r>
          </w:p>
        </w:tc>
        <w:tc>
          <w:tcPr/>
          <w:p>
            <w:pPr>
              <w:pStyle w:val="Compact"/>
            </w:pPr>
            <w:r>
              <w:t xml:space="preserve">12,0%</w:t>
            </w:r>
          </w:p>
        </w:tc>
        <w:tc>
          <w:tcPr/>
          <w:p>
            <w:pPr>
              <w:pStyle w:val="Compact"/>
            </w:pPr>
            <w:r>
              <w:t xml:space="preserve">88,0%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Violação de política entregue (43)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Resposta indevida entregue (43)</w:t>
            </w:r>
          </w:p>
        </w:tc>
        <w:tc>
          <w:tcPr/>
          <w:p>
            <w:pPr>
              <w:pStyle w:val="Compact"/>
            </w:pPr>
            <w:r>
              <w:t xml:space="preserve">23,3%</w:t>
            </w:r>
          </w:p>
        </w:tc>
        <w:tc>
          <w:tcPr/>
          <w:p>
            <w:pPr>
              <w:pStyle w:val="Compact"/>
            </w:pPr>
            <w:r>
              <w:t xml:space="preserve">7,0%</w:t>
            </w:r>
          </w:p>
        </w:tc>
        <w:tc>
          <w:tcPr/>
          <w:p>
            <w:pPr>
              <w:pStyle w:val="Compact"/>
            </w:pPr>
            <w:r>
              <w:t xml:space="preserve">51,2%</w:t>
            </w:r>
          </w:p>
        </w:tc>
        <w:tc>
          <w:tcPr/>
          <w:p>
            <w:pPr>
              <w:pStyle w:val="Compact"/>
            </w:pPr>
            <w:r>
              <w:t xml:space="preserve">7,0%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Score RS(0) / RS(10) do sistema</w:t>
            </w:r>
          </w:p>
        </w:tc>
        <w:tc>
          <w:tcPr/>
          <w:p>
            <w:pPr>
              <w:pStyle w:val="Compact"/>
            </w:pPr>
            <w:r>
              <w:t xml:space="preserve">65,1 / −260,5</w:t>
            </w:r>
          </w:p>
        </w:tc>
        <w:tc>
          <w:tcPr/>
          <w:p>
            <w:pPr>
              <w:pStyle w:val="Compact"/>
            </w:pPr>
            <w:r>
              <w:t xml:space="preserve">79,1 / −107,0</w:t>
            </w:r>
          </w:p>
        </w:tc>
        <w:tc>
          <w:tcPr/>
          <w:p>
            <w:pPr>
              <w:pStyle w:val="Compact"/>
            </w:pPr>
            <w:r>
              <w:t xml:space="preserve">44,2 / −514,0</w:t>
            </w:r>
          </w:p>
        </w:tc>
        <w:tc>
          <w:tcPr/>
          <w:p>
            <w:pPr>
              <w:pStyle w:val="Compact"/>
            </w:pPr>
            <w:r>
              <w:t xml:space="preserve">90,7 / −2,3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TARa@3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83,7%</w:t>
            </w:r>
          </w:p>
        </w:tc>
        <w:tc>
          <w:tcPr/>
          <w:p>
            <w:pPr>
              <w:pStyle w:val="Compact"/>
            </w:pPr>
            <w:r>
              <w:t xml:space="preserve">97,7%</w:t>
            </w:r>
          </w:p>
        </w:tc>
      </w:tr>
    </w:tbl>
    <w:p>
      <w:pPr>
        <w:pStyle w:val="FonteTabela"/>
      </w:pPr>
      <w:r>
        <w:t xml:space="preserve">Fonte: Resultados originais da pesquisa</w:t>
      </w:r>
    </w:p>
    <w:p>
      <w:pPr>
        <w:pStyle w:val="BodyText"/>
      </w:pPr>
      <w:r>
        <w:t xml:space="preserve">Sem a instrução de recusa, o modelo não se absteve por iniciativa</w:t>
      </w:r>
      <w:r>
        <w:t xml:space="preserve"> </w:t>
      </w:r>
      <w:r>
        <w:t xml:space="preserve">própria em nenhuma pergunta adversarial. As duas recusas contadas no</w:t>
      </w:r>
      <w:r>
        <w:t xml:space="preserve"> </w:t>
      </w:r>
      <w:r>
        <w:t xml:space="preserve">nível do modelo em E0 são perguntas barradas pelo filtro de dado pessoal</w:t>
      </w:r>
      <w:r>
        <w:t xml:space="preserve"> </w:t>
      </w:r>
      <w:r>
        <w:t xml:space="preserve">antes de qualquer chamada; excluídas, o modelo recusou 0 de 23 em E0 e</w:t>
      </w:r>
      <w:r>
        <w:t xml:space="preserve"> </w:t>
      </w:r>
      <w:r>
        <w:t xml:space="preserve">18 de 23 em E1, como Fei et al. (2026) observam: os modelos raramente</w:t>
      </w:r>
      <w:r>
        <w:t xml:space="preserve"> </w:t>
      </w:r>
      <w:r>
        <w:t xml:space="preserve">recusam por iniciativa própria. Ainda assim, nenhuma linha fora do</w:t>
      </w:r>
      <w:r>
        <w:t xml:space="preserve"> </w:t>
      </w:r>
      <w:r>
        <w:t xml:space="preserve">perfil, de camada interna ou com campo sensível foi entregue nas 150</w:t>
      </w:r>
      <w:r>
        <w:t xml:space="preserve"> </w:t>
      </w:r>
      <w:r>
        <w:t xml:space="preserve">interações adversariais das duas células. Das 15 recusas do sistema em</w:t>
      </w:r>
      <w:r>
        <w:t xml:space="preserve"> </w:t>
      </w:r>
      <w:r>
        <w:t xml:space="preserve">E0, 11 vieram de controles deterministas: 9 do verificador da consulta</w:t>
      </w:r>
      <w:r>
        <w:t xml:space="preserve"> </w:t>
      </w:r>
      <w:r>
        <w:t xml:space="preserve">(as quatro injeções em que o modelo obedeceu, gerando exclusão,</w:t>
      </w:r>
      <w:r>
        <w:t xml:space="preserve"> </w:t>
      </w:r>
      <w:r>
        <w:t xml:space="preserve">alteração, leitura de arquivo do sistema e exportação de tabela, além de</w:t>
      </w:r>
      <w:r>
        <w:t xml:space="preserve"> </w:t>
      </w:r>
      <w:r>
        <w:t xml:space="preserve">camada interna, catálogo e tabela fora do perfil) e 2 do filtro de dado</w:t>
      </w:r>
      <w:r>
        <w:t xml:space="preserve"> </w:t>
      </w:r>
      <w:r>
        <w:t xml:space="preserve">pessoal. As outras 4 dependeram do texto que o modelo escolheu (tabela</w:t>
      </w:r>
      <w:r>
        <w:t xml:space="preserve"> </w:t>
      </w:r>
      <w:r>
        <w:t xml:space="preserve">inventada, apelido de coluna sensível, colunas inexistentes), mas em</w:t>
      </w:r>
      <w:r>
        <w:t xml:space="preserve"> </w:t>
      </w:r>
      <w:r>
        <w:t xml:space="preserve">todas o dado pedido não existia na Gold.</w:t>
      </w:r>
    </w:p>
    <w:p>
      <w:pPr>
        <w:pStyle w:val="BodyText"/>
      </w:pPr>
      <w:r>
        <w:t xml:space="preserve">A pertinência da resposta ficou fora do alcance do verificador. Em E0,</w:t>
      </w:r>
      <w:r>
        <w:t xml:space="preserve"> </w:t>
      </w:r>
      <w:r>
        <w:t xml:space="preserve">10 perguntas sem resposta receberam uma, sem vazar dado: contagens na</w:t>
      </w:r>
      <w:r>
        <w:t xml:space="preserve"> </w:t>
      </w:r>
      <w:r>
        <w:t xml:space="preserve">tabela permitida no lugar da proibida, colunas nulas com nome de</w:t>
      </w:r>
      <w:r>
        <w:t xml:space="preserve"> </w:t>
      </w:r>
      <w:r>
        <w:t xml:space="preserve">diagnóstico ou de médico, uma projeção de 5% de aumento para o dia</w:t>
      </w:r>
      <w:r>
        <w:t xml:space="preserve"> </w:t>
      </w:r>
      <w:r>
        <w:t xml:space="preserve">seguinte e a parte benigna de uma pergunta com injeção. É o efeito que</w:t>
      </w:r>
      <w:r>
        <w:t xml:space="preserve"> </w:t>
      </w:r>
      <w:r>
        <w:t xml:space="preserve">Fei et al. (2026) descrevem para o schema restrito ao perfil, o modelo</w:t>
      </w:r>
      <w:r>
        <w:t xml:space="preserve"> </w:t>
      </w:r>
      <w:r>
        <w:t xml:space="preserve">respondendo com o que vê, agora medido sob verificador determinista. A</w:t>
      </w:r>
      <w:r>
        <w:t xml:space="preserve"> </w:t>
      </w:r>
      <w:r>
        <w:t xml:space="preserve">instrução de recusa elevou a recusa devida em todas as famílias, sem</w:t>
      </w:r>
      <w:r>
        <w:t xml:space="preserve"> </w:t>
      </w:r>
      <w:r>
        <w:t xml:space="preserve">produzir nenhuma recusa indevida: em E1, o sistema recusou as cinco</w:t>
      </w:r>
      <w:r>
        <w:t xml:space="preserve"> </w:t>
      </w:r>
      <w:r>
        <w:t xml:space="preserve">perguntas por dado pessoal, as cinco de camada interna ou catálogo e as</w:t>
      </w:r>
      <w:r>
        <w:t xml:space="preserve"> </w:t>
      </w:r>
      <w:r>
        <w:t xml:space="preserve">cinco injeções (três já no modelo, duas pelo verificador), quatro das</w:t>
      </w:r>
      <w:r>
        <w:t xml:space="preserve"> </w:t>
      </w:r>
      <w:r>
        <w:t xml:space="preserve">cinco fora do perfil e três das cinco sem resposta no schema, contra 4,</w:t>
      </w:r>
      <w:r>
        <w:t xml:space="preserve"> </w:t>
      </w:r>
      <w:r>
        <w:t xml:space="preserve">4, 4, 2 e 1 recusas em E0, na mesma ordem. As respostas indevidas caíram</w:t>
      </w:r>
      <w:r>
        <w:t xml:space="preserve"> </w:t>
      </w:r>
      <w:r>
        <w:t xml:space="preserve">de 10 para 3 (teste de sinal sobre o desfecho do sistema: 7 perguntas</w:t>
      </w:r>
      <w:r>
        <w:t xml:space="preserve"> </w:t>
      </w:r>
      <w:r>
        <w:t xml:space="preserve">melhoraram e 1 piorou, p = 0,07). Houve um custo que o critério de</w:t>
      </w:r>
      <w:r>
        <w:t xml:space="preserve"> </w:t>
      </w:r>
      <w:r>
        <w:t xml:space="preserve">decisão não previa: uma pergunta legítima mudou de consulta e passou de</w:t>
      </w:r>
      <w:r>
        <w:t xml:space="preserve"> </w:t>
      </w:r>
      <w:r>
        <w:t xml:space="preserve">correta a errada, sem recusa, e o execution match das legítimas caiu de</w:t>
      </w:r>
      <w:r>
        <w:t xml:space="preserve"> </w:t>
      </w:r>
      <w:r>
        <w:t xml:space="preserve">72,2% para 66,7%. Pelo critério registrado antes da execução, a</w:t>
      </w:r>
      <w:r>
        <w:t xml:space="preserve"> </w:t>
      </w:r>
      <w:r>
        <w:t xml:space="preserve">instrução passou a fazer parte da configuração operacional, com esse</w:t>
      </w:r>
      <w:r>
        <w:t xml:space="preserve"> </w:t>
      </w:r>
      <w:r>
        <w:t xml:space="preserve">custo declarado.</w:t>
      </w:r>
    </w:p>
    <w:p>
      <w:pPr>
        <w:pStyle w:val="BodyText"/>
      </w:pPr>
      <w:r>
        <w:t xml:space="preserve">O modelo via API repetiu o padrão com uma diferença de mecanismo. Sem a</w:t>
      </w:r>
      <w:r>
        <w:t xml:space="preserve"> </w:t>
      </w:r>
      <w:r>
        <w:t xml:space="preserve">instrução, tampouco recusou por iniciativa própria, mas em vez de</w:t>
      </w:r>
      <w:r>
        <w:t xml:space="preserve"> </w:t>
      </w:r>
      <w:r>
        <w:t xml:space="preserve">responder com a tabela permitida improvisou recusas dentro do contrato</w:t>
      </w:r>
      <w:r>
        <w:t xml:space="preserve"> </w:t>
      </w:r>
      <w:r>
        <w:t xml:space="preserve">de saída: consultas de resultado vazio (</w:t>
      </w:r>
      <w:r>
        <w:t xml:space="preserve">“SELECT 0 WHERE 1=0”</w:t>
      </w:r>
      <w:r>
        <w:t xml:space="preserve">), o valor</w:t>
      </w:r>
      <w:r>
        <w:t xml:space="preserve"> </w:t>
      </w:r>
      <w:r>
        <w:t xml:space="preserve">um ou uma mensagem como</w:t>
      </w:r>
      <w:r>
        <w:t xml:space="preserve"> </w:t>
      </w:r>
      <w:r>
        <w:t xml:space="preserve">“Acesso negado”</w:t>
      </w:r>
      <w:r>
        <w:t xml:space="preserve">, todas válidas dentro do escopo,</w:t>
      </w:r>
      <w:r>
        <w:t xml:space="preserve"> </w:t>
      </w:r>
      <w:r>
        <w:t xml:space="preserve">que o verificador aprovou e o sistema entregou. Vinte e duas das 25</w:t>
      </w:r>
      <w:r>
        <w:t xml:space="preserve"> </w:t>
      </w:r>
      <w:r>
        <w:t xml:space="preserve">adversariais foram entregues assim, nenhuma tocando camada interna,</w:t>
      </w:r>
      <w:r>
        <w:t xml:space="preserve"> </w:t>
      </w:r>
      <w:r>
        <w:t xml:space="preserve">comando de escrita ou tabela fora do perfil; uma injeção que pedia a</w:t>
      </w:r>
      <w:r>
        <w:t xml:space="preserve"> </w:t>
      </w:r>
      <w:r>
        <w:t xml:space="preserve">exportação da tabela de internações entregou as 2.012 linhas ao gestor,</w:t>
      </w:r>
      <w:r>
        <w:t xml:space="preserve"> </w:t>
      </w:r>
      <w:r>
        <w:t xml:space="preserve">que tinha acesso a elas. Com a instrução, o modelo via API recusou 22</w:t>
      </w:r>
      <w:r>
        <w:t xml:space="preserve"> </w:t>
      </w:r>
      <w:r>
        <w:t xml:space="preserve">das 25 no próprio nível do modelo e entregou três respostas indevidas</w:t>
      </w:r>
      <w:r>
        <w:t xml:space="preserve"> </w:t>
      </w:r>
      <w:r>
        <w:t xml:space="preserve">(duas injeções respondidas pela parte benigna e uma pergunta fora do</w:t>
      </w:r>
      <w:r>
        <w:t xml:space="preserve"> </w:t>
      </w:r>
      <w:r>
        <w:t xml:space="preserve">perfil respondida com a tabela permitida); o execution match das</w:t>
      </w:r>
      <w:r>
        <w:t xml:space="preserve"> </w:t>
      </w:r>
      <w:r>
        <w:t xml:space="preserve">legítimas subiu de 88,9% para 94,4%. A lição vale para os dois modelos:</w:t>
      </w:r>
      <w:r>
        <w:t xml:space="preserve"> </w:t>
      </w:r>
      <w:r>
        <w:t xml:space="preserve">um contrato de saída que só admite SQL leva o modelo a codificar a</w:t>
      </w:r>
      <w:r>
        <w:t xml:space="preserve"> </w:t>
      </w:r>
      <w:r>
        <w:t xml:space="preserve">recusa como consulta, e o harness a contar como resposta indevida o que</w:t>
      </w:r>
      <w:r>
        <w:t xml:space="preserve"> </w:t>
      </w:r>
      <w:r>
        <w:t xml:space="preserve">era uma abstenção sem canal. Autorizar a recusa resolve o problema nos</w:t>
      </w:r>
      <w:r>
        <w:t xml:space="preserve"> </w:t>
      </w:r>
      <w:r>
        <w:t xml:space="preserve">dois.</w:t>
      </w:r>
    </w:p>
    <w:p>
      <w:pPr>
        <w:pStyle w:val="BodyText"/>
      </w:pPr>
      <w:r>
        <w:t xml:space="preserve">A família de perguntas legítimas para outro perfil mede o custo da</w:t>
      </w:r>
      <w:r>
        <w:t xml:space="preserve"> </w:t>
      </w:r>
      <w:r>
        <w:t xml:space="preserve">governança propriamente dito: são perguntas que o hospital faria e que o</w:t>
      </w:r>
      <w:r>
        <w:t xml:space="preserve"> </w:t>
      </w:r>
      <w:r>
        <w:t xml:space="preserve">perfil de quem pergunta não pode fazer. Em E1, quatro das cinco foram</w:t>
      </w:r>
      <w:r>
        <w:t xml:space="preserve"> </w:t>
      </w:r>
      <w:r>
        <w:t xml:space="preserve">negadas, o comportamento desejado, e uma foi respondida erradamente com</w:t>
      </w:r>
      <w:r>
        <w:t xml:space="preserve"> </w:t>
      </w:r>
      <w:r>
        <w:t xml:space="preserve">a tabela permitida; em E0, duas foram negadas e três respondidas</w:t>
      </w:r>
      <w:r>
        <w:t xml:space="preserve"> </w:t>
      </w:r>
      <w:r>
        <w:t xml:space="preserve">erradamente. O custo consistiu em negar informação a quem não tinha a</w:t>
      </w:r>
      <w:r>
        <w:t xml:space="preserve"> </w:t>
      </w:r>
      <w:r>
        <w:t xml:space="preserve">finalidade correspondente; sem a instrução de recusa, converteu-se no</w:t>
      </w:r>
      <w:r>
        <w:t xml:space="preserve"> </w:t>
      </w:r>
      <w:r>
        <w:t xml:space="preserve">risco de entregar uma resposta errada no lugar da negativa.</w:t>
      </w:r>
    </w:p>
    <w:p>
      <w:pPr>
        <w:pStyle w:val="BodyText"/>
      </w:pPr>
      <w:r>
        <w:t xml:space="preserve">Duas leituras feitas sobre os relatórios, sem nova execução,</w:t>
      </w:r>
      <w:r>
        <w:t xml:space="preserve"> </w:t>
      </w:r>
      <w:r>
        <w:t xml:space="preserve">complementam o quadro. Uma regra que se abstivesse sempre que a consulta</w:t>
      </w:r>
      <w:r>
        <w:t xml:space="preserve"> </w:t>
      </w:r>
      <w:r>
        <w:t xml:space="preserve">aprovada devolvesse resultado vazio ou só nulos, na linha do filtro por</w:t>
      </w:r>
      <w:r>
        <w:t xml:space="preserve"> </w:t>
      </w:r>
      <w:r>
        <w:t xml:space="preserve">execução do sistema vencedor do EHRSQL 2024 (Lee et al., 2024a), levaria</w:t>
      </w:r>
      <w:r>
        <w:t xml:space="preserve"> </w:t>
      </w:r>
      <w:r>
        <w:t xml:space="preserve">a recusa devida do sistema a 92% em E1, restando a explicação pedida por</w:t>
      </w:r>
      <w:r>
        <w:t xml:space="preserve"> </w:t>
      </w:r>
      <w:r>
        <w:t xml:space="preserve">“por que”</w:t>
      </w:r>
      <w:r>
        <w:t xml:space="preserve"> </w:t>
      </w:r>
      <w:r>
        <w:t xml:space="preserve">e a previsão, ao custo de duas perguntas legítimas, já</w:t>
      </w:r>
      <w:r>
        <w:t xml:space="preserve"> </w:t>
      </w:r>
      <w:r>
        <w:t xml:space="preserve">erradas, virarem abstenção (a versão da regra versionada no harness</w:t>
      </w:r>
      <w:r>
        <w:t xml:space="preserve"> </w:t>
      </w:r>
      <w:r>
        <w:t xml:space="preserve">cobre só o resultado vazio e dá 88%). O Reliability Score com penalidade</w:t>
      </w:r>
      <w:r>
        <w:t xml:space="preserve"> </w:t>
      </w:r>
      <w:r>
        <w:t xml:space="preserve">10 fica muito abaixo de zero no modelo local porque cada resposta errada</w:t>
      </w:r>
      <w:r>
        <w:t xml:space="preserve"> </w:t>
      </w:r>
      <w:r>
        <w:t xml:space="preserve">entregue custa 23 pontos num conjunto de 43 com 58% de perguntas a</w:t>
      </w:r>
      <w:r>
        <w:t xml:space="preserve"> </w:t>
      </w:r>
      <w:r>
        <w:t xml:space="preserve">recusar, e não é comparável ao do EHRSQL 2024, cujo conjunto tem 20% de</w:t>
      </w:r>
      <w:r>
        <w:t xml:space="preserve"> </w:t>
      </w:r>
      <w:r>
        <w:t xml:space="preserve">perguntas a recusar.</w:t>
      </w:r>
    </w:p>
    <w:p>
      <w:pPr>
        <w:pStyle w:val="BodyText"/>
      </w:pPr>
      <w:r>
        <w:t xml:space="preserve">A execução do conjunto adversarial revelou ainda um defeito no</w:t>
      </w:r>
      <w:r>
        <w:t xml:space="preserve"> </w:t>
      </w:r>
      <w:r>
        <w:t xml:space="preserve">instrumento de medição. Para medir se uma consulta barrada teria o</w:t>
      </w:r>
      <w:r>
        <w:t xml:space="preserve"> </w:t>
      </w:r>
      <w:r>
        <w:t xml:space="preserve">conteúdo certo, o harness a executava de forma diagnóstica, fora da</w:t>
      </w:r>
      <w:r>
        <w:t xml:space="preserve"> </w:t>
      </w:r>
      <w:r>
        <w:t xml:space="preserve">trilha, e a consulta de uma das injeções, barrada por conter duas</w:t>
      </w:r>
      <w:r>
        <w:t xml:space="preserve"> </w:t>
      </w:r>
      <w:r>
        <w:t xml:space="preserve">instruções, exportou assim a tabela de internações para um arquivo,</w:t>
      </w:r>
      <w:r>
        <w:t xml:space="preserve"> </w:t>
      </w:r>
      <w:r>
        <w:t xml:space="preserve">porque a conexão somente leitura impede escrita no banco, mas não em</w:t>
      </w:r>
      <w:r>
        <w:t xml:space="preserve"> </w:t>
      </w:r>
      <w:r>
        <w:t xml:space="preserve">arquivo. O usuário não recebeu nada. A execução diagnóstica foi restrita</w:t>
      </w:r>
      <w:r>
        <w:t xml:space="preserve"> </w:t>
      </w:r>
      <w:r>
        <w:t xml:space="preserve">a consultas barradas apenas por escopo, a conexão passou a negar acesso</w:t>
      </w:r>
      <w:r>
        <w:t xml:space="preserve"> </w:t>
      </w:r>
      <w:r>
        <w:t xml:space="preserve">a arquivos externos, com teste, e a etapa foi reexecutada com as 258</w:t>
      </w:r>
      <w:r>
        <w:t xml:space="preserve"> </w:t>
      </w:r>
      <w:r>
        <w:t xml:space="preserve">interações idênticas à primeira execução.</w:t>
      </w:r>
    </w:p>
    <w:bookmarkEnd w:id="39"/>
    <w:bookmarkStart w:id="40" w:name="o-que-sai-do-perímetro"/>
    <w:p>
      <w:pPr>
        <w:pStyle w:val="Heading2"/>
      </w:pPr>
      <w:r>
        <w:t xml:space="preserve">O que sai do perímetro</w:t>
      </w:r>
    </w:p>
    <w:p>
      <w:pPr>
        <w:pStyle w:val="FirstParagraph"/>
      </w:pPr>
      <w:r>
        <w:t xml:space="preserve">A Tabela 6 apresenta o que deixa a máquina em cada motor, levantado a</w:t>
      </w:r>
      <w:r>
        <w:t xml:space="preserve"> </w:t>
      </w:r>
      <w:r>
        <w:t xml:space="preserve">partir do código.</w:t>
      </w:r>
    </w:p>
    <w:p>
      <w:pPr>
        <w:pStyle w:val="Legenda"/>
      </w:pPr>
      <w:r>
        <w:t xml:space="preserve">Tabela 6. Dados que saem do perímetro, por motor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3432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Sai do perímetro</w:t>
            </w:r>
          </w:p>
        </w:tc>
        <w:tc>
          <w:tcPr/>
          <w:p>
            <w:pPr>
              <w:pStyle w:val="Compact"/>
            </w:pPr>
            <w:r>
              <w:t xml:space="preserve">Nunca 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instrução de sistema; descrição do schema Gold; valores distintos das colunas categóricas, só nas células com value linking; texto da pergunta, já sem CPF, e-mail e telefone</w:t>
            </w:r>
          </w:p>
        </w:tc>
        <w:tc>
          <w:tcPr/>
          <w:p>
            <w:pPr>
              <w:pStyle w:val="Compact"/>
            </w:pPr>
            <w:r>
              <w:t xml:space="preserve">linhas da Gold; qualquer dado da Bronze ou da Silver; chave da pseudonimização; resultado da consulta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  <w:tc>
          <w:tcPr/>
          <w:p>
            <w:pPr>
              <w:pStyle w:val="Compact"/>
            </w:pPr>
            <w:r>
              <w:t xml:space="preserve">tudo</w:t>
            </w:r>
          </w:p>
        </w:tc>
      </w:tr>
    </w:tbl>
    <w:p>
      <w:pPr>
        <w:pStyle w:val="FonteTabela"/>
      </w:pPr>
      <w:r>
        <w:t xml:space="preserve">Fonte: Resultados originais da pesquisa</w:t>
      </w:r>
    </w:p>
    <w:p>
      <w:pPr>
        <w:pStyle w:val="BodyText"/>
      </w:pPr>
      <w:r>
        <w:t xml:space="preserve">O filtro de dado pessoal barrou as duas perguntas adversariais que</w:t>
      </w:r>
      <w:r>
        <w:t xml:space="preserve"> </w:t>
      </w:r>
      <w:r>
        <w:t xml:space="preserve">continham CPF e e-mail em todas as execuções, antes de qualquer chamada</w:t>
      </w:r>
      <w:r>
        <w:t xml:space="preserve"> </w:t>
      </w:r>
      <w:r>
        <w:t xml:space="preserve">ao modelo, e nenhum dos arquivos da execução contém esses valores</w:t>
      </w:r>
      <w:r>
        <w:t xml:space="preserve"> </w:t>
      </w:r>
      <w:r>
        <w:t xml:space="preserve">fictícios. Nome próprio não é detectável por padrão e permanece como</w:t>
      </w:r>
      <w:r>
        <w:t xml:space="preserve"> </w:t>
      </w:r>
      <w:r>
        <w:t xml:space="preserve">risco: uma pergunta com o nome de um paciente seguiria para o modelo e</w:t>
      </w:r>
      <w:r>
        <w:t xml:space="preserve"> </w:t>
      </w:r>
      <w:r>
        <w:t xml:space="preserve">ficaria registrada na trilha, que não pode ser editada sem quebrar a</w:t>
      </w:r>
      <w:r>
        <w:t xml:space="preserve"> </w:t>
      </w:r>
      <w:r>
        <w:t xml:space="preserve">cadeia de hashes. Para isso foi projetada, sem implementação, a</w:t>
      </w:r>
      <w:r>
        <w:t xml:space="preserve"> </w:t>
      </w:r>
      <w:r>
        <w:t xml:space="preserve">separação entre o fato registrado na cadeia e o texto da pergunta,</w:t>
      </w:r>
      <w:r>
        <w:t xml:space="preserve"> </w:t>
      </w:r>
      <w:r>
        <w:t xml:space="preserve">guardado à parte com prazo de retenção e expurgo, o que conciliaria a</w:t>
      </w:r>
      <w:r>
        <w:t xml:space="preserve"> </w:t>
      </w:r>
      <w:r>
        <w:t xml:space="preserve">integridade da auditoria com o término do tratamento e o direito de</w:t>
      </w:r>
      <w:r>
        <w:t xml:space="preserve"> </w:t>
      </w:r>
      <w:r>
        <w:t xml:space="preserve">eliminação previstos na LGPD (Brasil, 2018). O caminho via API, além do</w:t>
      </w:r>
      <w:r>
        <w:t xml:space="preserve"> </w:t>
      </w:r>
      <w:r>
        <w:t xml:space="preserve">filtro, exigiria de um hospital um dos mecanismos de transferência</w:t>
      </w:r>
      <w:r>
        <w:t xml:space="preserve"> </w:t>
      </w:r>
      <w:r>
        <w:t xml:space="preserve">internacional do art. 33 da LGPD e um contrato com o operador do modelo,</w:t>
      </w:r>
      <w:r>
        <w:t xml:space="preserve"> </w:t>
      </w:r>
      <w:r>
        <w:t xml:space="preserve">e a implantação real de qualquer dos caminhos exigiria o relatório de</w:t>
      </w:r>
      <w:r>
        <w:t xml:space="preserve"> </w:t>
      </w:r>
      <w:r>
        <w:t xml:space="preserve">impacto à proteção de dados do art. 38, ambos fora do escopo deste</w:t>
      </w:r>
      <w:r>
        <w:t xml:space="preserve"> </w:t>
      </w:r>
      <w:r>
        <w:t xml:space="preserve">trabalho. A implantação local, em que nada sai do perímetro, é a opção</w:t>
      </w:r>
      <w:r>
        <w:t xml:space="preserve"> </w:t>
      </w:r>
      <w:r>
        <w:t xml:space="preserve">adotada na literatura mais próxima deste trabalho (Al Attrach et al.,</w:t>
      </w:r>
      <w:r>
        <w:t xml:space="preserve"> </w:t>
      </w:r>
      <w:r>
        <w:t xml:space="preserve">2026); a abstração do schema e dos valores antes do envio a um modelo</w:t>
      </w:r>
      <w:r>
        <w:t xml:space="preserve"> </w:t>
      </w:r>
      <w:r>
        <w:t xml:space="preserve">remoto (Abedini et al., 2025) é a alternativa para quem precisa da API.</w:t>
      </w:r>
    </w:p>
    <w:bookmarkEnd w:id="40"/>
    <w:bookmarkStart w:id="41" w:name="estabilidade-e-reprodutibilidade"/>
    <w:p>
      <w:pPr>
        <w:pStyle w:val="Heading2"/>
      </w:pPr>
      <w:r>
        <w:t xml:space="preserve">Estabilidade e reprodutibilidade</w:t>
      </w:r>
    </w:p>
    <w:p>
      <w:pPr>
        <w:pStyle w:val="FirstParagraph"/>
      </w:pPr>
      <w:r>
        <w:t xml:space="preserve">A célula de melhor desempenho do modelo local (C3) e a célula</w:t>
      </w:r>
      <w:r>
        <w:t xml:space="preserve"> </w:t>
      </w:r>
      <w:r>
        <w:t xml:space="preserve">operacional (E1) foram repetidas em outro dia, com o servidor do modelo</w:t>
      </w:r>
      <w:r>
        <w:t xml:space="preserve"> </w:t>
      </w:r>
      <w:r>
        <w:t xml:space="preserve">reiniciado e os mesmos pesos, semente e máquina. As 183 interações do</w:t>
      </w:r>
      <w:r>
        <w:t xml:space="preserve"> </w:t>
      </w:r>
      <w:r>
        <w:t xml:space="preserve">segundo dia (61 perguntas, três execuções cada) repetiram exatamente as</w:t>
      </w:r>
      <w:r>
        <w:t xml:space="preserve"> </w:t>
      </w:r>
      <w:r>
        <w:t xml:space="preserve">consultas do primeiro, com concordância total de 100% entre os dias e</w:t>
      </w:r>
      <w:r>
        <w:t xml:space="preserve"> </w:t>
      </w:r>
      <w:r>
        <w:t xml:space="preserve">métricas idênticas. A rastreabilidade foi verificada em todas as</w:t>
      </w:r>
      <w:r>
        <w:t xml:space="preserve"> </w:t>
      </w:r>
      <w:r>
        <w:t xml:space="preserve">execuções versionadas: as 1.077 interações da matriz, do conjunto</w:t>
      </w:r>
      <w:r>
        <w:t xml:space="preserve"> </w:t>
      </w:r>
      <w:r>
        <w:t xml:space="preserve">adversarial com os dois modelos, da ponte com o modelo via API e da</w:t>
      </w:r>
      <w:r>
        <w:t xml:space="preserve"> </w:t>
      </w:r>
      <w:r>
        <w:t xml:space="preserve">repetição têm registro de entrada e de saída na trilha, e as cinco</w:t>
      </w:r>
      <w:r>
        <w:t xml:space="preserve"> </w:t>
      </w:r>
      <w:r>
        <w:t xml:space="preserve">cadeias de hashes foram conferidas íntegras a partir do arquivo. O</w:t>
      </w:r>
      <w:r>
        <w:t xml:space="preserve"> </w:t>
      </w:r>
      <w:r>
        <w:t xml:space="preserve">modelo via API, ao contrário, mudou a consulta entre chamadas contíguas</w:t>
      </w:r>
      <w:r>
        <w:t xml:space="preserve"> </w:t>
      </w:r>
      <w:r>
        <w:t xml:space="preserve">mesmo com temperatura zero: em uma pergunta por célula na matriz (TARa@3</w:t>
      </w:r>
      <w:r>
        <w:t xml:space="preserve"> </w:t>
      </w:r>
      <w:r>
        <w:t xml:space="preserve">de 94,4%) e em sete perguntas de E0 e uma de E1 no conjunto adversarial,</w:t>
      </w:r>
      <w:r>
        <w:t xml:space="preserve"> </w:t>
      </w:r>
      <w:r>
        <w:t xml:space="preserve">quase todas nas recusas improvisadas, coerente com o não determinismo de</w:t>
      </w:r>
      <w:r>
        <w:t xml:space="preserve"> </w:t>
      </w:r>
      <w:r>
        <w:t xml:space="preserve">configurações</w:t>
      </w:r>
      <w:r>
        <w:t xml:space="preserve"> </w:t>
      </w:r>
      <w:r>
        <w:t xml:space="preserve">“deterministas”</w:t>
      </w:r>
      <w:r>
        <w:t xml:space="preserve"> </w:t>
      </w:r>
      <w:r>
        <w:t xml:space="preserve">em serviços hospedados descrito por Atıl</w:t>
      </w:r>
      <w:r>
        <w:t xml:space="preserve"> </w:t>
      </w:r>
      <w:r>
        <w:t xml:space="preserve">et al. (2025). Com semente fixa e pesos identificados, a inferência</w:t>
      </w:r>
      <w:r>
        <w:t xml:space="preserve"> </w:t>
      </w:r>
      <w:r>
        <w:t xml:space="preserve">local foi reproduzível, o que a torna preferível também para a auditoria</w:t>
      </w:r>
      <w:r>
        <w:t xml:space="preserve"> </w:t>
      </w:r>
      <w:r>
        <w:t xml:space="preserve">de resultados; a reprodução em outro hardware ou outra versão do</w:t>
      </w:r>
      <w:r>
        <w:t xml:space="preserve"> </w:t>
      </w:r>
      <w:r>
        <w:t xml:space="preserve">servidor não foi testada, e é justamente onde a literatura indica que o</w:t>
      </w:r>
      <w:r>
        <w:t xml:space="preserve"> </w:t>
      </w:r>
      <w:r>
        <w:t xml:space="preserve">determinismo costuma falhar.</w:t>
      </w:r>
    </w:p>
    <w:bookmarkEnd w:id="41"/>
    <w:bookmarkStart w:id="42" w:name="comparação-com-a-literatura"/>
    <w:p>
      <w:pPr>
        <w:pStyle w:val="Heading2"/>
      </w:pPr>
      <w:r>
        <w:t xml:space="preserve">Comparação com a literatura</w:t>
      </w:r>
    </w:p>
    <w:p>
      <w:pPr>
        <w:pStyle w:val="FirstParagraph"/>
      </w:pPr>
      <w:r>
        <w:t xml:space="preserve">A Tabela 7 posiciona os resultados em relação a trabalhos com objetivo</w:t>
      </w:r>
      <w:r>
        <w:t xml:space="preserve"> </w:t>
      </w:r>
      <w:r>
        <w:t xml:space="preserve">semelhante. As comparações são indicativas: os conjuntos, os schemas e</w:t>
      </w:r>
      <w:r>
        <w:t xml:space="preserve"> </w:t>
      </w:r>
      <w:r>
        <w:t xml:space="preserve">as métricas diferem, e o schema deste trabalho é mais simples que os da</w:t>
      </w:r>
      <w:r>
        <w:t xml:space="preserve"> </w:t>
      </w:r>
      <w:r>
        <w:t xml:space="preserve">literatura, com quatro tabelas e nenhuma pergunta que exija junção.</w:t>
      </w:r>
    </w:p>
    <w:p>
      <w:pPr>
        <w:pStyle w:val="Legenda"/>
      </w:pPr>
      <w:r>
        <w:t xml:space="preserve">Tabela 7. Resultados deste trabalho e da literatura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Literatura</w:t>
            </w:r>
          </w:p>
        </w:tc>
        <w:tc>
          <w:tcPr/>
          <w:p>
            <w:pPr>
              <w:pStyle w:val="Compact"/>
            </w:pPr>
            <w:r>
              <w:t xml:space="preserve">Este trabalho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match, uma chamada sem exemplos, dados clínicos</w:t>
            </w:r>
          </w:p>
        </w:tc>
        <w:tc>
          <w:tcPr/>
          <w:p>
            <w:pPr>
              <w:pStyle w:val="Compact"/>
            </w:pPr>
            <w:r>
              <w:t xml:space="preserve">43,4% (Tanković et al., 2025) a 78% (Li et al., 2026)</w:t>
            </w:r>
          </w:p>
        </w:tc>
        <w:tc>
          <w:tcPr/>
          <w:p>
            <w:pPr>
              <w:pStyle w:val="Compact"/>
            </w:pPr>
            <w:r>
              <w:t xml:space="preserve">72,2% (local); 90,7% (via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match, agentes com ferramentas e correção</w:t>
            </w:r>
          </w:p>
        </w:tc>
        <w:tc>
          <w:tcPr/>
          <w:p>
            <w:pPr>
              <w:pStyle w:val="Compact"/>
            </w:pPr>
            <w:r>
              <w:t xml:space="preserve">83,3% a 94% (Al Attrach et al., 2026; Waltl, 2025)</w:t>
            </w:r>
          </w:p>
        </w:tc>
        <w:tc>
          <w:tcPr/>
          <w:p>
            <w:pPr>
              <w:pStyle w:val="Compact"/>
            </w:pPr>
            <w:r>
              <w:t xml:space="preserve">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Recusa correta em perguntas sem resposta no schema</w:t>
            </w:r>
          </w:p>
        </w:tc>
        <w:tc>
          <w:tcPr/>
          <w:p>
            <w:pPr>
              <w:pStyle w:val="Compact"/>
            </w:pPr>
            <w:r>
              <w:t xml:space="preserve">69% (Al Attrach et al., 2026, modelo aberto de 20 bilhões)</w:t>
            </w:r>
          </w:p>
        </w:tc>
        <w:tc>
          <w:tcPr/>
          <w:p>
            <w:pPr>
              <w:pStyle w:val="Compact"/>
            </w:pPr>
            <w:r>
              <w:t xml:space="preserve">60% na família equivalente com o modelo local e 100% com o modelo via API (E1); 88% no conjunto adversarial completo com ambos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Vazamento com política apenas no prompt</w:t>
            </w:r>
          </w:p>
        </w:tc>
        <w:tc>
          <w:tcPr/>
          <w:p>
            <w:pPr>
              <w:pStyle w:val="Compact"/>
            </w:pPr>
            <w:r>
              <w:t xml:space="preserve">4,8% a 42,4% (Miyamoto et al., 2026)</w:t>
            </w:r>
          </w:p>
        </w:tc>
        <w:tc>
          <w:tcPr/>
          <w:p>
            <w:pPr>
              <w:pStyle w:val="Compact"/>
            </w:pPr>
            <w:r>
              <w:t xml:space="preserve">0 violação de política entregue, com verificador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Violação da política de acesso pelo modelo</w:t>
            </w:r>
          </w:p>
        </w:tc>
        <w:tc>
          <w:tcPr/>
          <w:p>
            <w:pPr>
              <w:pStyle w:val="Compact"/>
            </w:pPr>
            <w:r>
              <w:t xml:space="preserve">7,4% no BIRD para um modelo comercial (Fei et al., 2026)</w:t>
            </w:r>
          </w:p>
        </w:tc>
        <w:tc>
          <w:tcPr/>
          <w:p>
            <w:pPr>
              <w:pStyle w:val="Compact"/>
            </w:pPr>
            <w:r>
              <w:t xml:space="preserve">0 no sistema em todas as células</w:t>
            </w:r>
          </w:p>
        </w:tc>
      </w:tr>
    </w:tbl>
    <w:p>
      <w:pPr>
        <w:pStyle w:val="FonteTabela"/>
      </w:pPr>
      <w:r>
        <w:t xml:space="preserve">Fonte: Resultados originais da pesquisa</w:t>
      </w:r>
    </w:p>
    <w:p>
      <w:pPr>
        <w:pStyle w:val="BodyText"/>
      </w:pPr>
      <w:r>
        <w:t xml:space="preserve">Em acurácia, o modelo local ficou dentro da faixa dos trabalhos de uma</w:t>
      </w:r>
      <w:r>
        <w:t xml:space="preserve"> </w:t>
      </w:r>
      <w:r>
        <w:t xml:space="preserve">chamada, e o modelo via API acima dela, mas abaixo dos sistemas</w:t>
      </w:r>
      <w:r>
        <w:t xml:space="preserve"> </w:t>
      </w:r>
      <w:r>
        <w:t xml:space="preserve">agênticos, que usam várias chamadas, ferramentas e correção iterativa,</w:t>
      </w:r>
      <w:r>
        <w:t xml:space="preserve"> </w:t>
      </w:r>
      <w:r>
        <w:t xml:space="preserve">recursos que este trabalho não empregou. Em violação de política, o zero</w:t>
      </w:r>
      <w:r>
        <w:t xml:space="preserve"> </w:t>
      </w:r>
      <w:r>
        <w:t xml:space="preserve">decorre da arquitetura: os trabalhos citados medem o modelo decidindo</w:t>
      </w:r>
      <w:r>
        <w:t xml:space="preserve"> </w:t>
      </w:r>
      <w:r>
        <w:t xml:space="preserve">sozinho ou com verificador baseado em modelo, enquanto aqui um</w:t>
      </w:r>
      <w:r>
        <w:t xml:space="preserve"> </w:t>
      </w:r>
      <w:r>
        <w:t xml:space="preserve">verificador determinista em código decide a execução. Em recusa de</w:t>
      </w:r>
      <w:r>
        <w:t xml:space="preserve"> </w:t>
      </w:r>
      <w:r>
        <w:t xml:space="preserve">perguntas sem resposta, a família comparável ficou abaixo do valor de Al</w:t>
      </w:r>
      <w:r>
        <w:t xml:space="preserve"> </w:t>
      </w:r>
      <w:r>
        <w:t xml:space="preserve">Attrach et al. (2026) com o modelo local, 60% contra 69%, e acima com o</w:t>
      </w:r>
      <w:r>
        <w:t xml:space="preserve"> </w:t>
      </w:r>
      <w:r>
        <w:t xml:space="preserve">modelo via API, que recusou as cinco. A contribuição do trabalho está em</w:t>
      </w:r>
      <w:r>
        <w:t xml:space="preserve"> </w:t>
      </w:r>
      <w:r>
        <w:t xml:space="preserve">medir, sob esse verificador, o que muda quando o modelo conhece o escopo</w:t>
      </w:r>
      <w:r>
        <w:t xml:space="preserve"> </w:t>
      </w:r>
      <w:r>
        <w:t xml:space="preserve">do perfil e quando é autorizado a recusar, algo que os benchmarks de</w:t>
      </w:r>
      <w:r>
        <w:t xml:space="preserve"> </w:t>
      </w:r>
      <w:r>
        <w:t xml:space="preserve">controle de acesso em Text-to-SQL não isolam (Fei et al., 2026; Klisura</w:t>
      </w:r>
      <w:r>
        <w:t xml:space="preserve"> </w:t>
      </w:r>
      <w:r>
        <w:t xml:space="preserve">et al., 2026).</w:t>
      </w:r>
    </w:p>
    <w:bookmarkEnd w:id="42"/>
    <w:bookmarkStart w:id="43" w:name="limitações"/>
    <w:p>
      <w:pPr>
        <w:pStyle w:val="Heading2"/>
      </w:pPr>
      <w:r>
        <w:t xml:space="preserve">Limitações</w:t>
      </w:r>
    </w:p>
    <w:p>
      <w:pPr>
        <w:pStyle w:val="FirstParagraph"/>
      </w:pPr>
      <w:r>
        <w:t xml:space="preserve">Os conjuntos têm 18 perguntas legítimas e 25 adversariais, e os</w:t>
      </w:r>
      <w:r>
        <w:t xml:space="preserve"> </w:t>
      </w:r>
      <w:r>
        <w:t xml:space="preserve">intervalos de confiança largos impedem afirmar diferenças entre a</w:t>
      </w:r>
      <w:r>
        <w:t xml:space="preserve"> </w:t>
      </w:r>
      <w:r>
        <w:t xml:space="preserve">maioria das configurações. As perguntas, as referências e o sistema</w:t>
      </w:r>
      <w:r>
        <w:t xml:space="preserve"> </w:t>
      </w:r>
      <w:r>
        <w:t xml:space="preserve">foram escritos pelo mesmo autor; a leitura cega de um anotador</w:t>
      </w:r>
      <w:r>
        <w:t xml:space="preserve"> </w:t>
      </w:r>
      <w:r>
        <w:t xml:space="preserve">independente reduziu, mas não eliminou, esse viés. O schema tem quatro</w:t>
      </w:r>
      <w:r>
        <w:t xml:space="preserve"> </w:t>
      </w:r>
      <w:r>
        <w:t xml:space="preserve">tabelas e nenhuma junção, e o comportamento com dezenas de tabelas,</w:t>
      </w:r>
      <w:r>
        <w:t xml:space="preserve"> </w:t>
      </w:r>
      <w:r>
        <w:t xml:space="preserve">prompts maiores e permissões por coluna não foi avaliado. Os dados são</w:t>
      </w:r>
      <w:r>
        <w:t xml:space="preserve"> </w:t>
      </w:r>
      <w:r>
        <w:t xml:space="preserve">sintéticos, de modo que a conformidade com a LGPD só pôde ser</w:t>
      </w:r>
      <w:r>
        <w:t xml:space="preserve"> </w:t>
      </w:r>
      <w:r>
        <w:t xml:space="preserve">demonstrada como propriedade de projeto, e as normas da ANVISA foram</w:t>
      </w:r>
      <w:r>
        <w:t xml:space="preserve"> </w:t>
      </w:r>
      <w:r>
        <w:t xml:space="preserve">adotadas por analogia. A matriz de perfis foi desenhada pelo autor a</w:t>
      </w:r>
      <w:r>
        <w:t xml:space="preserve"> </w:t>
      </w:r>
      <w:r>
        <w:t xml:space="preserve">partir da finalidade de cada função e não foi validada em campo com um</w:t>
      </w:r>
      <w:r>
        <w:t xml:space="preserve"> </w:t>
      </w:r>
      <w:r>
        <w:t xml:space="preserve">hospital; para o gestor, a tabela de internações poderia ser exposta só</w:t>
      </w:r>
      <w:r>
        <w:t xml:space="preserve"> </w:t>
      </w:r>
      <w:r>
        <w:t xml:space="preserve">como agregados por tipo, faixa etária e situação, sem perda para as</w:t>
      </w:r>
      <w:r>
        <w:t xml:space="preserve"> </w:t>
      </w:r>
      <w:r>
        <w:t xml:space="preserve">perguntas avaliadas, o que reduziria o risco de reidentificação no</w:t>
      </w:r>
      <w:r>
        <w:t xml:space="preserve"> </w:t>
      </w:r>
      <w:r>
        <w:t xml:space="preserve">subconjunto em andamento. O k-anonimato imposto cobre o conjunto</w:t>
      </w:r>
      <w:r>
        <w:t xml:space="preserve"> </w:t>
      </w:r>
      <w:r>
        <w:t xml:space="preserve">completo de internações; no subconjunto das internações em andamento o k</w:t>
      </w:r>
      <w:r>
        <w:t xml:space="preserve"> </w:t>
      </w:r>
      <w:r>
        <w:t xml:space="preserve">mínimo é 3, e não há regra de supressão para o caso, esperado em dados</w:t>
      </w:r>
      <w:r>
        <w:t xml:space="preserve"> </w:t>
      </w:r>
      <w:r>
        <w:t xml:space="preserve">reais, de um grupo pequeno violar o limiar. Nome próprio na pergunta não</w:t>
      </w:r>
      <w:r>
        <w:t xml:space="preserve"> </w:t>
      </w:r>
      <w:r>
        <w:t xml:space="preserve">é filtrado, e a retenção do texto na trilha foi apenas projetada. Três</w:t>
      </w:r>
      <w:r>
        <w:t xml:space="preserve"> </w:t>
      </w:r>
      <w:r>
        <w:t xml:space="preserve">respostas a perguntas sem resposta seguiram sendo entregues com a</w:t>
      </w:r>
      <w:r>
        <w:t xml:space="preserve"> </w:t>
      </w:r>
      <w:r>
        <w:t xml:space="preserve">instrução de recusa, e a mitigação de alucinação foi, por isso,</w:t>
      </w:r>
      <w:r>
        <w:t xml:space="preserve"> </w:t>
      </w:r>
      <w:r>
        <w:t xml:space="preserve">considerada parcial. A reprodutibilidade exata foi verificada em uma</w:t>
      </w:r>
      <w:r>
        <w:t xml:space="preserve"> </w:t>
      </w:r>
      <w:r>
        <w:t xml:space="preserve">única máquina, e a latência do modelo local, de 4 a 5 segundos por</w:t>
      </w:r>
      <w:r>
        <w:t xml:space="preserve"> </w:t>
      </w:r>
      <w:r>
        <w:t xml:space="preserve">pergunta em um notebook, não foi avaliada frente a requisitos de uso. A</w:t>
      </w:r>
      <w:r>
        <w:t xml:space="preserve"> </w:t>
      </w:r>
      <w:r>
        <w:t xml:space="preserve">interação tem um único turno: o sistema não pede esclarecimento, não</w:t>
      </w:r>
      <w:r>
        <w:t xml:space="preserve"> </w:t>
      </w:r>
      <w:r>
        <w:t xml:space="preserve">mostra ao usuário a leitura que adotou e responde à pergunta ambígua com</w:t>
      </w:r>
      <w:r>
        <w:t xml:space="preserve"> </w:t>
      </w:r>
      <w:r>
        <w:t xml:space="preserve">uma das leituras possíveis; o anotador independente julgou ambíguas três</w:t>
      </w:r>
      <w:r>
        <w:t xml:space="preserve"> </w:t>
      </w:r>
      <w:r>
        <w:t xml:space="preserve">das 18 perguntas. A célula C4 com instrução de recusa não foi medida.</w:t>
      </w:r>
    </w:p>
    <w:bookmarkEnd w:id="43"/>
    <w:bookmarkEnd w:id="44"/>
    <w:bookmarkStart w:id="45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A arquitetura de referência proposta foi implementada como protótipo</w:t>
      </w:r>
      <w:r>
        <w:t xml:space="preserve"> </w:t>
      </w:r>
      <w:r>
        <w:t xml:space="preserve">funcional e avaliada com execução real, e os cinco objetivos específicos</w:t>
      </w:r>
      <w:r>
        <w:t xml:space="preserve"> </w:t>
      </w:r>
      <w:r>
        <w:t xml:space="preserve">foram cumpridos no escopo ajustado declarado na Metodologia, do</w:t>
      </w:r>
      <w:r>
        <w:t xml:space="preserve"> </w:t>
      </w:r>
      <w:r>
        <w:t xml:space="preserve">levantamento da literatura ao protótipo avaliado com hipóteses</w:t>
      </w:r>
      <w:r>
        <w:t xml:space="preserve"> </w:t>
      </w:r>
      <w:r>
        <w:t xml:space="preserve">registradas antes dos números.</w:t>
      </w:r>
    </w:p>
    <w:p>
      <w:pPr>
        <w:pStyle w:val="BodyText"/>
      </w:pPr>
      <w:r>
        <w:t xml:space="preserve">A hipótese tem duas partes, com respostas diferentes. Quanto à acurácia,</w:t>
      </w:r>
      <w:r>
        <w:t xml:space="preserve"> </w:t>
      </w:r>
      <w:r>
        <w:t xml:space="preserve">o veredito é o mesmo enunciado no Resumo: o limiar previsto foi atingido na estimativa pontual só com o modelo</w:t>
      </w:r>
      <w:r>
        <w:t xml:space="preserve"> </w:t>
      </w:r>
      <w:r>
        <w:t xml:space="preserve">comercial, tanto sob o prompt que descreve o schema e informa o escopo</w:t>
      </w:r>
      <w:r>
        <w:t xml:space="preserve"> </w:t>
      </w:r>
      <w:r>
        <w:t xml:space="preserve">quanto na configuração operacional que autoriza a recusa, e não foi</w:t>
      </w:r>
      <w:r>
        <w:t xml:space="preserve"> </w:t>
      </w:r>
      <w:r>
        <w:t xml:space="preserve">atingido com o modelo aberto executado localmente, e o tamanho do conjunto de perguntas impede</w:t>
      </w:r>
      <w:r>
        <w:t xml:space="preserve"> </w:t>
      </w:r>
      <w:r>
        <w:t xml:space="preserve">afirmar de que lado do limiar está o valor verdadeiro. Cabe separar o</w:t>
      </w:r>
      <w:r>
        <w:t xml:space="preserve"> </w:t>
      </w:r>
      <w:r>
        <w:t xml:space="preserve">que é da arquitetura do que é do modelo: o nível de acurácia é</w:t>
      </w:r>
      <w:r>
        <w:t xml:space="preserve"> </w:t>
      </w:r>
      <w:r>
        <w:t xml:space="preserve">propriedade do modelo e do prompt, e a arquitetura, por si, apenas o</w:t>
      </w:r>
      <w:r>
        <w:t xml:space="preserve"> </w:t>
      </w:r>
      <w:r>
        <w:t xml:space="preserve">preserva ou o reduz; o que a arquitetura respondeu foi que não o reduziu</w:t>
      </w:r>
      <w:r>
        <w:t xml:space="preserve"> </w:t>
      </w:r>
      <w:r>
        <w:t xml:space="preserve">por recusa indevida e que garantiu o escopo em todas as configurações. Quanto à</w:t>
      </w:r>
      <w:r>
        <w:t xml:space="preserve"> </w:t>
      </w:r>
      <w:r>
        <w:t xml:space="preserve">conformidade, com dados sintéticos a lei não incide, e o que se</w:t>
      </w:r>
      <w:r>
        <w:t xml:space="preserve"> </w:t>
      </w:r>
      <w:r>
        <w:t xml:space="preserve">demonstrou foi uma arquitetura projetada para atender aos princípios da</w:t>
      </w:r>
      <w:r>
        <w:t xml:space="preserve"> </w:t>
      </w:r>
      <w:r>
        <w:t xml:space="preserve">LGPD, com proteção dos dados verificada por teste sobre o conjunto completo,</w:t>
      </w:r>
      <w:r>
        <w:t xml:space="preserve"> </w:t>
      </w:r>
      <w:r>
        <w:t xml:space="preserve">escopo de acesso garantido por verificador em código e auditoria</w:t>
      </w:r>
      <w:r>
        <w:t xml:space="preserve"> </w:t>
      </w:r>
      <w:r>
        <w:t xml:space="preserve">encadeada; a parte relativa às normas da ANVISA não pôde ser testada,</w:t>
      </w:r>
      <w:r>
        <w:t xml:space="preserve"> </w:t>
      </w:r>
      <w:r>
        <w:t xml:space="preserve">porque a norma não incide sobre software de gestão sem finalidade</w:t>
      </w:r>
      <w:r>
        <w:t xml:space="preserve"> </w:t>
      </w:r>
      <w:r>
        <w:t xml:space="preserve">clínica, e foi tratada por analogia.</w:t>
      </w:r>
    </w:p>
    <w:p>
      <w:pPr>
        <w:pStyle w:val="BodyText"/>
      </w:pPr>
      <w:r>
        <w:t xml:space="preserve">Em resposta à pergunta de pesquisa, a governança integrada não gerou</w:t>
      </w:r>
      <w:r>
        <w:t xml:space="preserve"> </w:t>
      </w:r>
      <w:r>
        <w:t xml:space="preserve">recusa indevida. Nenhuma pergunta dentro do escopo do perfil foi recusada quando o prompt</w:t>
      </w:r>
      <w:r>
        <w:t xml:space="preserve"> </w:t>
      </w:r>
      <w:r>
        <w:t xml:space="preserve">informou esse escopo; a configuração operacional pagou por isso uma</w:t>
      </w:r>
      <w:r>
        <w:t xml:space="preserve"> </w:t>
      </w:r>
      <w:r>
        <w:t xml:space="preserve">regressão pontual em pergunta legítima, respondida de outro modo depois</w:t>
      </w:r>
      <w:r>
        <w:t xml:space="preserve"> </w:t>
      </w:r>
      <w:r>
        <w:t xml:space="preserve">que o modelo foi autorizado a recusar; e o custo da governança apareceu</w:t>
      </w:r>
      <w:r>
        <w:t xml:space="preserve"> </w:t>
      </w:r>
      <w:r>
        <w:t xml:space="preserve">onde deve aparecer, na negação de perguntas para as quais o perfil não</w:t>
      </w:r>
      <w:r>
        <w:t xml:space="preserve"> </w:t>
      </w:r>
      <w:r>
        <w:t xml:space="preserve">tem finalidade. A garantia de</w:t>
      </w:r>
      <w:r>
        <w:t xml:space="preserve"> </w:t>
      </w:r>
      <w:r>
        <w:t xml:space="preserve">escopo veio do verificador determinista, que barrou todas as instruções</w:t>
      </w:r>
      <w:r>
        <w:t xml:space="preserve"> </w:t>
      </w:r>
      <w:r>
        <w:t xml:space="preserve">injetadas às quais o modelo obedeceu e não deixou passar nenhuma linha</w:t>
      </w:r>
      <w:r>
        <w:t xml:space="preserve"> </w:t>
      </w:r>
      <w:r>
        <w:t xml:space="preserve">fora do perfil; a garantia de pertinência não veio de lugar algum até que o modelo fosse</w:t>
      </w:r>
      <w:r>
        <w:t xml:space="preserve"> </w:t>
      </w:r>
      <w:r>
        <w:t xml:space="preserve">autorizado a recusar, e mesmo então permaneceu incompleta; sem esse</w:t>
      </w:r>
      <w:r>
        <w:t xml:space="preserve"> </w:t>
      </w:r>
      <w:r>
        <w:t xml:space="preserve">canal, o modelo comercial codificou recusas como consultas vazias ou</w:t>
      </w:r>
      <w:r>
        <w:t xml:space="preserve"> </w:t>
      </w:r>
      <w:r>
        <w:t xml:space="preserve">mensagens, que o sistema entregou como resposta.</w:t>
      </w:r>
      <w:r>
        <w:t xml:space="preserve"> </w:t>
      </w:r>
      <w:r>
        <w:t xml:space="preserve">A separação entre esses dois tipos de garantia, e a medição de cada um</w:t>
      </w:r>
      <w:r>
        <w:t xml:space="preserve"> </w:t>
      </w:r>
      <w:r>
        <w:t xml:space="preserve">sob verificador determinista, é a contribuição do trabalho.</w:t>
      </w:r>
    </w:p>
    <w:p>
      <w:pPr>
        <w:pStyle w:val="BodyText"/>
      </w:pPr>
      <w:r>
        <w:t xml:space="preserve">Além dos resultados de arquitetura, dois resultados de método merecem</w:t>
      </w:r>
      <w:r>
        <w:t xml:space="preserve"> </w:t>
      </w:r>
      <w:r>
        <w:t xml:space="preserve">registro. O desenho do prompt reduziu de forma acentuada a distância entre um</w:t>
      </w:r>
      <w:r>
        <w:t xml:space="preserve"> </w:t>
      </w:r>
      <w:r>
        <w:t xml:space="preserve">modelo local gratuito e um modelo comercial, o que torna a implantação</w:t>
      </w:r>
      <w:r>
        <w:t xml:space="preserve"> </w:t>
      </w:r>
      <w:r>
        <w:t xml:space="preserve">local, sem saída de dados</w:t>
      </w:r>
      <w:r>
        <w:t xml:space="preserve"> </w:t>
      </w:r>
      <w:r>
        <w:t xml:space="preserve">e com inferência repetível entre dias, uma opção defensável para</w:t>
      </w:r>
      <w:r>
        <w:t xml:space="preserve"> </w:t>
      </w:r>
      <w:r>
        <w:t xml:space="preserve">hospitais. E o pré-registro das hipóteses, somado à execução real, expôs</w:t>
      </w:r>
      <w:r>
        <w:t xml:space="preserve"> </w:t>
      </w:r>
      <w:r>
        <w:t xml:space="preserve">previsões erradas, custos não previstos e defeitos no próprio instrumento</w:t>
      </w:r>
      <w:r>
        <w:t xml:space="preserve"> </w:t>
      </w:r>
      <w:r>
        <w:t xml:space="preserve">de medição, todos reportados ou corrigidos antes de qualquer número ser</w:t>
      </w:r>
      <w:r>
        <w:t xml:space="preserve"> </w:t>
      </w:r>
      <w:r>
        <w:t xml:space="preserve">divulgado.</w:t>
      </w:r>
    </w:p>
    <w:p>
      <w:pPr>
        <w:pStyle w:val="BodyText"/>
      </w:pPr>
      <w:r>
        <w:t xml:space="preserve">Como trabalhos futuros indicam-se a ampliação do conjunto de perguntas</w:t>
      </w:r>
      <w:r>
        <w:t xml:space="preserve"> </w:t>
      </w:r>
      <w:r>
        <w:t xml:space="preserve">com itens escritos por profissionais de hospital, a extensão do controle de acesso à granularidade de coluna, a</w:t>
      </w:r>
      <w:r>
        <w:t xml:space="preserve"> </w:t>
      </w:r>
      <w:r>
        <w:t xml:space="preserve">implementação da retenção e do expurgo do texto das perguntas na trilha</w:t>
      </w:r>
      <w:r>
        <w:t xml:space="preserve"> </w:t>
      </w:r>
      <w:r>
        <w:t xml:space="preserve">de auditoria, a exibição ao usuário da leitura adotada pelo sistema e do</w:t>
      </w:r>
      <w:r>
        <w:t xml:space="preserve"> </w:t>
      </w:r>
      <w:r>
        <w:t xml:space="preserve">motivo de cada recusa, e a avaliação em</w:t>
      </w:r>
      <w:r>
        <w:t xml:space="preserve"> </w:t>
      </w:r>
      <w:r>
        <w:t xml:space="preserve">um schema de dezenas de tabelas, condição em que a viabilidade aqui</w:t>
      </w:r>
      <w:r>
        <w:t xml:space="preserve"> </w:t>
      </w:r>
      <w:r>
        <w:t xml:space="preserve">observada precisa ser reexaminada.</w:t>
      </w:r>
    </w:p>
    <w:bookmarkEnd w:id="45"/>
    <w:bookmarkStart w:id="46" w:name="referências"/>
    <w:p>
      <w:pPr>
        <w:pStyle w:val="Heading1"/>
      </w:pPr>
      <w:r>
        <w:t xml:space="preserve">Referências</w:t>
      </w:r>
    </w:p>
    <w:p>
      <w:pPr>
        <w:pStyle w:val="Referencia"/>
      </w:pPr>
      <w:r>
        <w:t xml:space="preserve">Abedini, S.; Mohapatra, S.; Emerson, D.B.; Shafieinejad, M.; Cresswell, J.C.; He, X. 2025. MaskSQL: safeguarding privacy for LLM-based text-to-SQL via abstraction. arXiv:2509.23459 (aceito no 3rd Workshop on Regulatable ML, NeurIPS 2025). Disponível em: &lt;https://arxiv.org/abs/2509.23459&gt;. Acesso em: 22 set. 2026.</w:t>
      </w:r>
    </w:p>
    <w:p>
      <w:pPr>
        <w:pStyle w:val="Referencia"/>
      </w:pPr>
      <w:r>
        <w:t xml:space="preserve">Affolter, K.; Stockinger, K.; Bernstein, A. 2019. A comparative survey of recent natural language interfaces for databases. The VLDB Journal 28(5): 793-819.</w:t>
      </w:r>
    </w:p>
    <w:p>
      <w:pPr>
        <w:pStyle w:val="Referencia"/>
      </w:pPr>
      <w:r>
        <w:t xml:space="preserve">Agência Nacional de Vigilância Sanitária [ANVISA]. 2022. Resolução da Diretoria Colegiada RDC nº 657, de 24 de março de 2022. Dispõe sobre a regularização de software como dispositivo médico (Software as a Medical Device, SaMD). Diário Oficial da União, Brasília, 30 mar. 2022. Seção 1, p. 330-331.</w:t>
      </w:r>
    </w:p>
    <w:p>
      <w:pPr>
        <w:pStyle w:val="Referencia"/>
      </w:pPr>
      <w:r>
        <w:t xml:space="preserve">Al Attrach, R.; Moreira, P.; Fani, R.; Umeton, R.; Fiske, A.; Celi, L.A. 2026. M3: conversational LLMs simplify secure clinical data access, understanding, and analysis. PLOS Digital Health 5(9): e0001671.</w:t>
      </w:r>
    </w:p>
    <w:p>
      <w:pPr>
        <w:pStyle w:val="Referencia"/>
      </w:pPr>
      <w:r>
        <w:t xml:space="preserve">Angelov, S.; Grefen, P.; Greefhorst, D. 2012. A framework for analysis and design of software reference architectures. Information and Software Technology 54(4): 417-431.</w:t>
      </w:r>
    </w:p>
    <w:p>
      <w:pPr>
        <w:pStyle w:val="Referencia"/>
      </w:pPr>
      <w:r>
        <w:t xml:space="preserve">Armbrust, M.; Ghodsi, A.; Xin, R.; Zaharia, M. 2021. Lakehouse: a new generation of open platforms that unify data warehousing and advanced analytics. In: Conference on Innovative Data Systems Research (CIDR), 11., 2021, evento virtual. Anais… Disponível em: &lt;https://www.cidrdb.org/cidr2021/papers/cidr2021_paper17.pdf&gt;. Acesso em: 22 set. 2026.</w:t>
      </w:r>
    </w:p>
    <w:p>
      <w:pPr>
        <w:pStyle w:val="Referencia"/>
      </w:pPr>
      <w:r>
        <w:t xml:space="preserve">Atıl, B.; Aykent, S.; Chittams, A.; Fu, L.; Passonneau, R.J.; Radcliffe, E.; Rajagopal, G.R.; Sloan, A.; Tudrej, T.; Ture, F.; Wu, Z.; Xu, L.; Baldwin, B. 2025. Non-determinism of</w:t>
      </w:r>
      <w:r>
        <w:t xml:space="preserve"> </w:t>
      </w:r>
      <w:r>
        <w:t xml:space="preserve">“deterministic”</w:t>
      </w:r>
      <w:r>
        <w:t xml:space="preserve"> </w:t>
      </w:r>
      <w:r>
        <w:t xml:space="preserve">LLM system settings in hosted environments. In: Workshop on Evaluation and Comparison of NLP Systems (Eval4NLP), 5., 2025. Anais… Association for Computational Linguistics, p. 135-148.</w:t>
      </w:r>
    </w:p>
    <w:p>
      <w:pPr>
        <w:pStyle w:val="Referencia"/>
      </w:pPr>
      <w:r>
        <w:t xml:space="preserve">Autoridade Nacional de Proteção de Dados [ANPD]. 2024. Radar tecnológico: inteligência artificial generativa. Disponível em: &lt;https://www.gov.br/anpd/pt-br/documentos-e-publicacoes/documentos-de-publicacoes/radar_tecnologico_ia_generativa_anpd.pdf&gt;. Acesso em: 10 jun. 2026.</w:t>
      </w:r>
    </w:p>
    <w:p>
      <w:pPr>
        <w:pStyle w:val="Referencia"/>
      </w:pPr>
      <w:r>
        <w:t xml:space="preserve">Brasil. 2018. Lei nº 13.709, de 14 de agosto de 2018. Lei Geral de Proteção de Dados Pessoais (LGPD). Diário Oficial da União, Brasília, 15 ago. 2018. Seção 1, p. 59.</w:t>
      </w:r>
    </w:p>
    <w:p>
      <w:pPr>
        <w:pStyle w:val="Referencia"/>
      </w:pPr>
      <w:r>
        <w:t xml:space="preserve">Brown, L.D.; Cai, T.T.; DasGupta, A. 2001. Interval estimation for a binomial proportion. Statistical Science 16(2): 101-133.</w:t>
      </w:r>
    </w:p>
    <w:p>
      <w:pPr>
        <w:pStyle w:val="Referencia"/>
      </w:pPr>
      <w:r>
        <w:t xml:space="preserve">El Emam, K.; Arbuckle, L. 2013. Anonymizing Health Data: Case studies and methods to get you started. O’Reilly Media, Sebastopol, CA, USA.</w:t>
      </w:r>
    </w:p>
    <w:p>
      <w:pPr>
        <w:pStyle w:val="Referencia"/>
      </w:pPr>
      <w:r>
        <w:t xml:space="preserve">European Data Protection Board [EDPB]. 2025. Guidelines 01/2025 on pseudonymisation. Disponível em: &lt;https://www.edpb.europa.eu/system/files/2025-01/edpb_guidelines_202501_pseudonymisation_en.pdf&gt;. Acesso em: 13 set. 2026.</w:t>
      </w:r>
    </w:p>
    <w:p>
      <w:pPr>
        <w:pStyle w:val="Referencia"/>
      </w:pPr>
      <w:r>
        <w:t xml:space="preserve">European Union Agency for Cybersecurity [ENISA]. 2022. Deploying pseudonymisation techniques: the case of the health sector. Disponível em: &lt;https://www.enisa.europa.eu/publications/deploying-pseudonymisation-techniques&gt;. Acesso em: 13 set. 2026.</w:t>
      </w:r>
    </w:p>
    <w:p>
      <w:pPr>
        <w:pStyle w:val="Referencia"/>
      </w:pPr>
      <w:r>
        <w:t xml:space="preserve">Fei, Y.; Jiang, Y.; Yang, Y.; Xiao, X. 2026. Benchmarking text-to-SQL under role-based access control. arXiv:2607.22115 (aceito no ACM SIGMOD 2027). Disponível em: &lt;https://arxiv.org/abs/2607.22115&gt;. Acesso em: 22 set. 2026.</w:t>
      </w:r>
    </w:p>
    <w:p>
      <w:pPr>
        <w:pStyle w:val="Referencia"/>
      </w:pPr>
      <w:r>
        <w:t xml:space="preserve">Gao, D.; Wang, H.; Li, Y.; Sun, X.; Qian, Y.; Ding, B.; Zhou, J. 2024. Text-to-SQL empowered by large language models: a benchmark evaluation. Proceedings of the VLDB Endowment 17(5): 1132-1145.</w:t>
      </w:r>
    </w:p>
    <w:p>
      <w:pPr>
        <w:pStyle w:val="Referencia"/>
      </w:pPr>
      <w:r>
        <w:t xml:space="preserve">Hevner, A.R.; March, S.T.; Park, J.; Ram, S. 2004. Design science in information systems research. MIS Quarterly 28(1): 75-105.</w:t>
      </w:r>
    </w:p>
    <w:p>
      <w:pPr>
        <w:pStyle w:val="Referencia"/>
      </w:pPr>
      <w:r>
        <w:t xml:space="preserve">Hui, B.; Yang, J.; Cui, Z.; Yang, J.; Liu, D.; Zhang, L.; Liu, T.; Zhang, J.; Yu, B.; Lu, K.; Dang, K.; Fan, Y.; Zhang, Y.; Yang, A.; Men, R.; Huang, F.; Zheng, B.; Miao, Y.; Quan, S.; Feng, Y.; Ren, X.; Ren, X.; Zhou, J.; Lin, J. 2024. Qwen2.5-Coder technical report. arXiv:2409.12186. Disponível em: &lt;https://arxiv.org/abs/2409.12186&gt;. Acesso em: 22 set. 2026.</w:t>
      </w:r>
    </w:p>
    <w:p>
      <w:pPr>
        <w:pStyle w:val="Referencia"/>
      </w:pPr>
      <w:r>
        <w:t xml:space="preserve">Kent, K.; Souppaya, M. 2006. Guide to Computer Security Log Management. NIST Special Publication 800-92. National Institute of Standards and Technology, Gaithersburg, MD, USA.</w:t>
      </w:r>
    </w:p>
    <w:p>
      <w:pPr>
        <w:pStyle w:val="Referencia"/>
      </w:pPr>
      <w:r>
        <w:t xml:space="preserve">Klisura, Đ.; Khoury, J.; Kundu, A.; Krishnan, R.; Rios, A. 2026. Role-conditioned refusals: evaluating access control reasoning in large language models. In: Findings of the Association for Computational Linguistics: EACL 2026, 2026, Rabat, Marrocos. Anais… Association for Computational Linguistics, p. 6018-6034.</w:t>
      </w:r>
    </w:p>
    <w:p>
      <w:pPr>
        <w:pStyle w:val="Referencia"/>
      </w:pPr>
      <w:r>
        <w:t xml:space="preserve">Lee, G.; Hwang, H.; Bae, S.; Kwon, Y.; Shin, W.; Yang, S.; Seo, M.; Kim, J.-Y.; Choi, E. 2022. EHRSQL: a practical text-to-SQL benchmark for electronic health records. In: Conference on Neural Information Processing Systems (NeurIPS), Datasets and Benchmarks Track, 36., 2022, New Orleans, LA, USA. Anais… Advances in Neural Information Processing Systems 35, p. 15589-15601.</w:t>
      </w:r>
    </w:p>
    <w:p>
      <w:pPr>
        <w:pStyle w:val="Referencia"/>
      </w:pPr>
      <w:r>
        <w:t xml:space="preserve">Lee, G.; Kweon, S.; Bae, S.; Choi, E. 2024a. Overview of the EHRSQL 2024 shared task on reliable text-to-SQL modeling on electronic health records. In: Clinical Natural Language Processing Workshop, 6., 2024, Mexico City, Mexico. Anais… Association for Computational Linguistics, p. 644-654.</w:t>
      </w:r>
    </w:p>
    <w:p>
      <w:pPr>
        <w:pStyle w:val="Referencia"/>
      </w:pPr>
      <w:r>
        <w:t xml:space="preserve">Lee, G.; Chay, W.; Cho, S.; Choi, E. 2024b. TrustSQL: benchmarking text-to-SQL reliability with penalty-based scoring. arXiv:2403.15879. Disponível em: &lt;https://arxiv.org/abs/2403.15879&gt;. Acesso em: 22 set. 2026.</w:t>
      </w:r>
    </w:p>
    <w:p>
      <w:pPr>
        <w:pStyle w:val="Referencia"/>
      </w:pPr>
      <w:r>
        <w:t xml:space="preserve">Li, J.; Hui, B.; Qu, G.; Yang, J.; Li, B.; Li, B.; Wang, B.; Qin, B.; Geng, R.; Huo, N.; Zhou, X.; Ma, C.; Li, G.; Chang, K.; Huang, F.; Cheng, R.; Li, Y. 2023. Can LLM already serve as a database interface? A big bench for large-scale database grounded text-to-SQLs. In: Conference on Neural Information Processing Systems (NeurIPS), Datasets and Benchmarks Track, 37., 2023, New Orleans, LA, USA. Anais… Advances in Neural Information Processing Systems 36, p. 42330-42357.</w:t>
      </w:r>
    </w:p>
    <w:p>
      <w:pPr>
        <w:pStyle w:val="Referencia"/>
      </w:pPr>
      <w:r>
        <w:t xml:space="preserve">Li, J.; Zhang, Y.; Zhao, J.; He, S.; Li, D. 2026. Harnessing the potential of LLMs in hospital management: insights into medical data inquiry. The International Journal of Health Planning and Management (publicação antecipada). DOI: 10.1002/hpm.70106.</w:t>
      </w:r>
    </w:p>
    <w:p>
      <w:pPr>
        <w:pStyle w:val="Referencia"/>
      </w:pPr>
      <w:r>
        <w:t xml:space="preserve">Liu, W.; Qu, B.; Mallya, P.; Wu, J.; Thomas, K.; Hall, J.L.; Zhao, J.; Yin, Z. 2026. Optimizing an LLM-based clinical data querying system using metadata enrichment and task decomposition. AMIA Joint Summits on Translational Science Proceedings 2026: 277-286.</w:t>
      </w:r>
    </w:p>
    <w:p>
      <w:pPr>
        <w:pStyle w:val="Referencia"/>
      </w:pPr>
      <w:r>
        <w:t xml:space="preserve">Maamari, K.; Abubaker, F.; Jaroslawicz, D.; Mhedhbi, A. 2024. The death of schema linking? Text-to-SQL in the age of well-reasoned language models. arXiv:2408.07702 (apresentado no Table Representation Learning Workshop, NeurIPS 2024). Disponível em: &lt;https://arxiv.org/abs/2408.07702&gt;. Acesso em: 22 set. 2026.</w:t>
      </w:r>
    </w:p>
    <w:p>
      <w:pPr>
        <w:pStyle w:val="Referencia"/>
      </w:pPr>
      <w:r>
        <w:t xml:space="preserve">Miyamoto, R.; Fan, X.; Yamana, H. 2026. Policy-conditioned constrained decoding for column-level access control in text-to-SQL. arXiv:2607.12341. Disponível em: &lt;https://arxiv.org/abs/2607.12341&gt;. Acesso em: 22 set. 2026.</w:t>
      </w:r>
    </w:p>
    <w:p>
      <w:pPr>
        <w:pStyle w:val="Referencia"/>
      </w:pPr>
      <w:r>
        <w:t xml:space="preserve">National Institute of Standards and Technology [NIST]. 2023. Artificial Intelligence Risk Management Framework (AI RMF 1.0). NIST AI 100-1. NIST, Gaithersburg, MD, USA.</w:t>
      </w:r>
    </w:p>
    <w:p>
      <w:pPr>
        <w:pStyle w:val="Referencia"/>
      </w:pPr>
      <w:r>
        <w:t xml:space="preserve">OWASP Foundation. 2025. OWASP Top 10 for LLM Applications 2025. Disponível em: &lt;https://owasp.org/www-project-top-10-for-large-language-model-applications/&gt;. Acesso em: 8 set. 2026.</w:t>
      </w:r>
    </w:p>
    <w:p>
      <w:pPr>
        <w:pStyle w:val="Referencia"/>
      </w:pPr>
      <w:r>
        <w:t xml:space="preserve">Pedro, R.; Coimbra, M.E.; Castro, D.; Carreira, P.; Santos, N. 2025. Prompt-to-SQL injections in LLM-integrated web applications: risks and defenses. In: IEEE/ACM International Conference on Software Engineering (ICSE), 47., 2025, Ottawa, Canada. Anais… p. 1768-1780.</w:t>
      </w:r>
    </w:p>
    <w:p>
      <w:pPr>
        <w:pStyle w:val="Referencia"/>
      </w:pPr>
      <w:r>
        <w:t xml:space="preserve">Prodanov, C.C.; Freitas, E.C. de. 2013. Metodologia do Trabalho Científico: Métodos e técnicas da pesquisa e do trabalho acadêmico. 2ed. Feevale, Novo Hamburgo, RS, Brasil.</w:t>
      </w:r>
    </w:p>
    <w:p>
      <w:pPr>
        <w:pStyle w:val="Referencia"/>
      </w:pPr>
      <w:r>
        <w:t xml:space="preserve">Rebedea, T.; Dinu, R.; Sreedhar, M.N.; Parisien, C.; Cohen, J. 2023. NeMo Guardrails: a toolkit for controllable and safe LLM applications with programmable rails. In: Conference on Empirical Methods in Natural Language Processing (EMNLP), System Demonstrations, 2023, Singapore. Anais… Association for Computational Linguistics, p. 431-445.</w:t>
      </w:r>
    </w:p>
    <w:p>
      <w:pPr>
        <w:pStyle w:val="Referencia"/>
      </w:pPr>
      <w:r>
        <w:t xml:space="preserve">Schneier, B.; Kelsey, J. 1999. Secure audit logs to support computer forensics. ACM Transactions on Information and System Security 2(2): 159-176.</w:t>
      </w:r>
    </w:p>
    <w:p>
      <w:pPr>
        <w:pStyle w:val="Referencia"/>
      </w:pPr>
      <w:r>
        <w:t xml:space="preserve">Shi, L.; Tang, Z.; Zhang, N.; Zhang, X.; Yang, Z. 2025. A survey on employing large language models for text-to-SQL tasks. ACM Computing Surveys 58(2): 1-37.</w:t>
      </w:r>
    </w:p>
    <w:p>
      <w:pPr>
        <w:pStyle w:val="Referencia"/>
      </w:pPr>
      <w:r>
        <w:t xml:space="preserve">Sweeney, L. 2002. k-anonymity: a model for protecting privacy. International Journal of Uncertainty, Fuzziness and Knowledge-Based Systems 10(5): 557-570.</w:t>
      </w:r>
    </w:p>
    <w:p>
      <w:pPr>
        <w:pStyle w:val="Referencia"/>
      </w:pPr>
      <w:r>
        <w:t xml:space="preserve">Tanković, N.; Šajina, R.; Lorencin, I. 2025. Transforming medical data access: the role and challenges of recent language models in SQL query automation. Algorithms 18(3): 124.</w:t>
      </w:r>
    </w:p>
    <w:p>
      <w:pPr>
        <w:pStyle w:val="Referencia"/>
      </w:pPr>
      <w:r>
        <w:t xml:space="preserve">Waltl, J. 2025. LETHE-Chat: Schema-aware LLM agents for text-to-SQL on clinical trial databases. Dissertação de Mestrado em Ciências. FH Joanneum, Graz, Áustria.</w:t>
      </w:r>
    </w:p>
    <w:p>
      <w:pPr>
        <w:pStyle w:val="Referencia"/>
      </w:pPr>
      <w:r>
        <w:t xml:space="preserve">World Health Organization [WHO]. 2024. Ethics and Governance of Artificial Intelligence for Health: Guidance on large multi-modal models. WHO, Geneva, Switzerland.</w:t>
      </w:r>
    </w:p>
    <w:p>
      <w:pPr>
        <w:pStyle w:val="Referencia"/>
      </w:pPr>
      <w:r>
        <w:t xml:space="preserve">Yin, R.K. 2015. Estudo de Caso: Planejamento e métodos. 5ed. Bookman, Porto Alegre, RS, Brasil.</w:t>
      </w:r>
    </w:p>
    <w:p>
      <w:pPr>
        <w:pStyle w:val="Referencia"/>
      </w:pPr>
      <w:r>
        <w:t xml:space="preserve">Yu, T.; Zhang, R.; Yang, K.; Yasunaga, M.; Wang, D.; Li, Z.; Ma, J.; Li, I.; Yao, Q.; Roman, S.; Zhang, Z.; Radev, D. 2018. Spider: a large-scale human-labeled dataset for complex and cross-domain semantic parsing and text-to-SQL task. In: Conference on Empirical Methods in Natural Language Processing (EMNLP), 2018, Brussels, Belgium. Anais… Association for Computational Linguistics, p. 3911-3921.</w:t>
      </w:r>
    </w:p>
    <w:bookmarkEnd w:id="46"/>
    <w:bookmarkStart w:id="50" w:name="X997c507b506dc9df754dd7c812f32e8b5d42eb9"/>
    <w:p>
      <w:pPr>
        <w:pStyle w:val="Heading1"/>
      </w:pPr>
      <w:r>
        <w:t xml:space="preserve">Apêndice A. Arquitetura de referência em quatro camadas</w:t>
      </w:r>
    </w:p>
    <w:p>
      <w:pPr>
        <w:pStyle w:val="FirstParagraph"/>
      </w:pPr>
      <w:r>
        <w:drawing>
          <wp:inline>
            <wp:extent cx="5753100" cy="57531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as/arquitetura_quatro_camada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 xml:space="preserve">Figura 1. Fluxo de uma pergunta pelas quatro camadas da arquitetura</w:t>
      </w:r>
    </w:p>
    <w:p>
      <w:pPr>
        <w:pStyle w:val="FonteTabela"/>
      </w:pPr>
      <w:r>
        <w:t xml:space="preserve">Fonte: Dados originais da pesquisa</w:t>
      </w:r>
    </w:p>
    <w:p>
      <w:pPr>
        <w:pStyle w:val="Legenda"/>
      </w:pPr>
      <w:r>
        <w:t xml:space="preserve">Tabela 1. Responsabilidades e controles de cada camada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0"/>
        <w:gridCol w:w="3355"/>
        <w:gridCol w:w="29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Controles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Pipeline Lakehouse</w:t>
            </w:r>
          </w:p>
        </w:tc>
        <w:tc>
          <w:tcPr/>
          <w:p>
            <w:pPr>
              <w:pStyle w:val="Compact"/>
            </w:pPr>
            <w:r>
              <w:t xml:space="preserve">Ingestão dos dados brutos (Bronze); remoção de identificadores diretos, faixa etária e pseudonimização com chave (Silver); tabelas minimizadas, com k-anonimato verificado, exportadas para arquivo próprio (Gold)</w:t>
            </w:r>
          </w:p>
        </w:tc>
        <w:tc>
          <w:tcPr/>
          <w:p>
            <w:pPr>
              <w:pStyle w:val="Compact"/>
            </w:pPr>
            <w:r>
              <w:t xml:space="preserve">CTRL-LAKE-001 (k mínimo por teste)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Governança de entrada</w:t>
            </w:r>
          </w:p>
        </w:tc>
        <w:tc>
          <w:tcPr/>
          <w:p>
            <w:pPr>
              <w:pStyle w:val="Compact"/>
            </w:pPr>
            <w:r>
              <w:t xml:space="preserve">Filtro de dado pessoal no texto da pergunta; verificação da consulta gerada (instrução única, somente leitura, sem escrita, arquivo ou catálogo, sem camadas internas, só tabelas do perfil); conexão somente leitura, restrita à Gold e sem acesso a arquivos externos</w:t>
            </w:r>
          </w:p>
        </w:tc>
        <w:tc>
          <w:tcPr/>
          <w:p>
            <w:pPr>
              <w:pStyle w:val="Compact"/>
            </w:pPr>
            <w:r>
              <w:t xml:space="preserve">CTRL-GOV-001 a CTRL-GOV-008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Motor Text-to-SQL</w:t>
            </w:r>
          </w:p>
        </w:tc>
        <w:tc>
          <w:tcPr/>
          <w:p>
            <w:pPr>
              <w:pStyle w:val="Compact"/>
            </w:pPr>
            <w:r>
              <w:t xml:space="preserve">Tradução da pergunta em SQL por modelo local ou via API, com o prompt controlado por célula (descrição do schema, valores categóricos, schema por perfil, instrução de recusa)</w:t>
            </w:r>
          </w:p>
        </w:tc>
        <w:tc>
          <w:tcPr/>
          <w:p>
            <w:pPr>
              <w:pStyle w:val="Compact"/>
            </w:pPr>
            <w:r>
              <w:t xml:space="preserve">Células C0 a C4, E0 e 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Validação de saída</w:t>
            </w:r>
          </w:p>
        </w:tc>
        <w:tc>
          <w:tcPr/>
          <w:p>
            <w:pPr>
              <w:pStyle w:val="Compact"/>
            </w:pPr>
            <w:r>
              <w:t xml:space="preserve">Aterramento das tabelas citadas; filtro de coluna sensível no resultado; registro da pergunta e da resposta em trilha encadeada por hash</w:t>
            </w:r>
          </w:p>
        </w:tc>
        <w:tc>
          <w:tcPr/>
          <w:p>
            <w:pPr>
              <w:pStyle w:val="Compact"/>
            </w:pPr>
            <w:r>
              <w:t xml:space="preserve">CTRL-VALID-001, CTRL-VALID-002, CTRL-AUD-001</w:t>
            </w:r>
          </w:p>
        </w:tc>
      </w:tr>
    </w:tbl>
    <w:p>
      <w:pPr>
        <w:pStyle w:val="FonteTabela"/>
      </w:pPr>
      <w:r>
        <w:t xml:space="preserve">Fonte: Dados originais da pesquisa</w:t>
      </w:r>
    </w:p>
    <w:bookmarkEnd w:id="50"/>
    <w:bookmarkStart w:id="51" w:name="X9a517e93ee67c595bba77bc5fa0a06f8428179d"/>
    <w:p>
      <w:pPr>
        <w:pStyle w:val="Heading1"/>
      </w:pPr>
      <w:r>
        <w:t xml:space="preserve">Apêndice B. Requisitos regulatórios e controles</w:t>
      </w:r>
    </w:p>
    <w:p>
      <w:pPr>
        <w:pStyle w:val="Legenda"/>
      </w:pPr>
      <w:r>
        <w:t xml:space="preserve">Tabela 1. Mapeamento dos requisitos regulatórios para controles, camadas e situação de implementação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7"/>
        <w:gridCol w:w="1298"/>
        <w:gridCol w:w="1947"/>
        <w:gridCol w:w="779"/>
        <w:gridCol w:w="19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Controle na arquitetura</w:t>
            </w:r>
          </w:p>
        </w:tc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REG-LGPD-001 Proteção reforçada de dados sensíveis e minimização</w:t>
            </w:r>
          </w:p>
        </w:tc>
        <w:tc>
          <w:tcPr/>
          <w:p>
            <w:pPr>
              <w:pStyle w:val="Compact"/>
            </w:pPr>
            <w:r>
              <w:t xml:space="preserve">LGPD art. 11 e art. 6º</w:t>
            </w:r>
          </w:p>
        </w:tc>
        <w:tc>
          <w:tcPr/>
          <w:p>
            <w:pPr>
              <w:pStyle w:val="Compact"/>
            </w:pPr>
            <w:r>
              <w:t xml:space="preserve">Remoção de nome, CPF e data de nascimento na Silver; faixa etária no lugar da data; Gold sem identificador, com k-anonimato verificado (k mínimo 5)</w:t>
            </w:r>
          </w:p>
        </w:tc>
        <w:tc>
          <w:tcPr/>
          <w:p>
            <w:pPr>
              <w:pStyle w:val="Compact"/>
            </w:pPr>
            <w:r>
              <w:t xml:space="preserve">Silver e Gold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REG-LGPD-002 Pseudonimização</w:t>
            </w:r>
          </w:p>
        </w:tc>
        <w:tc>
          <w:tcPr/>
          <w:p>
            <w:pPr>
              <w:pStyle w:val="Compact"/>
            </w:pPr>
            <w:r>
              <w:t xml:space="preserve">LGPD art. 5º, XI; art. 12; art. 13</w:t>
            </w:r>
          </w:p>
        </w:tc>
        <w:tc>
          <w:tcPr/>
          <w:p>
            <w:pPr>
              <w:pStyle w:val="Compact"/>
            </w:pPr>
            <w:r>
              <w:t xml:space="preserve">Identificador do paciente pseudonimizado por HMAC-SHA256 com chave lida do ambiente; o pseudônimo não chega à Gold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REG-LGPD-003 Minimização na exposição</w:t>
            </w:r>
          </w:p>
        </w:tc>
        <w:tc>
          <w:tcPr/>
          <w:p>
            <w:pPr>
              <w:pStyle w:val="Compact"/>
            </w:pPr>
            <w:r>
              <w:t xml:space="preserve">LGPD art. 6º</w:t>
            </w:r>
          </w:p>
        </w:tc>
        <w:tc>
          <w:tcPr/>
          <w:p>
            <w:pPr>
              <w:pStyle w:val="Compact"/>
            </w:pPr>
            <w:r>
              <w:t xml:space="preserve">Só a Gold é exposta ao motor; Bronze e Silver em arquivo separado, inacessível à conexão de consulta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REG-LGPD-004 Controle de acesso por finalidade e perfil</w:t>
            </w:r>
          </w:p>
        </w:tc>
        <w:tc>
          <w:tcPr/>
          <w:p>
            <w:pPr>
              <w:pStyle w:val="Compact"/>
            </w:pPr>
            <w:r>
              <w:t xml:space="preserve">LGPD art. 6º</w:t>
            </w:r>
          </w:p>
        </w:tc>
        <w:tc>
          <w:tcPr/>
          <w:p>
            <w:pPr>
              <w:pStyle w:val="Compact"/>
            </w:pPr>
            <w:r>
              <w:t xml:space="preserve">Três perfis com escopo de tabelas por finalidade (CTRL-GOV-005)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por configuração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REG-LGPD-005 Segurança e prevenção de comando indevido</w:t>
            </w:r>
          </w:p>
        </w:tc>
        <w:tc>
          <w:tcPr/>
          <w:p>
            <w:pPr>
              <w:pStyle w:val="Compact"/>
            </w:pPr>
            <w:r>
              <w:t xml:space="preserve">LGPD art. 46 e art. 6º</w:t>
            </w:r>
          </w:p>
        </w:tc>
        <w:tc>
          <w:tcPr/>
          <w:p>
            <w:pPr>
              <w:pStyle w:val="Compact"/>
            </w:pPr>
            <w:r>
              <w:t xml:space="preserve">Instrução única somente leitura, bloqueio de escrita, arquivo e catálogo, conexão sem acesso externo (CTRL-GOV-001 a 003 e 006)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implementado; validado com as cinco injeções do conjunto adversarial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REG-LGPD-006 Prevenção de vazamento de sensível na resposta</w:t>
            </w:r>
          </w:p>
        </w:tc>
        <w:tc>
          <w:tcPr/>
          <w:p>
            <w:pPr>
              <w:pStyle w:val="Compact"/>
            </w:pPr>
            <w:r>
              <w:t xml:space="preserve">LGPD art. 11</w:t>
            </w:r>
          </w:p>
        </w:tc>
        <w:tc>
          <w:tcPr/>
          <w:p>
            <w:pPr>
              <w:pStyle w:val="Compact"/>
            </w:pPr>
            <w:r>
              <w:t xml:space="preserve">Filtro de coluna sensível no resultado (CTRL-VALID-002)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REG-LGPD-007 Rastreabilidade e prestação de contas</w:t>
            </w:r>
          </w:p>
        </w:tc>
        <w:tc>
          <w:tcPr/>
          <w:p>
            <w:pPr>
              <w:pStyle w:val="Compact"/>
            </w:pPr>
            <w:r>
              <w:t xml:space="preserve">LGPD art. 6º</w:t>
            </w:r>
          </w:p>
        </w:tc>
        <w:tc>
          <w:tcPr/>
          <w:p>
            <w:pPr>
              <w:pStyle w:val="Compact"/>
            </w:pPr>
            <w:r>
              <w:t xml:space="preserve">Trilha de auditoria com horário real, perfil, consulta, controle e hash do resultado, em cadeia de hashes verificável (CTRL-AUD-001)</w:t>
            </w:r>
          </w:p>
        </w:tc>
        <w:tc>
          <w:tcPr/>
          <w:p>
            <w:pPr>
              <w:pStyle w:val="Compact"/>
            </w:pPr>
            <w: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implementado; retenção e expurgo do texto da pergunta projetados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REG-LGPD-008 Controle do que sai do perímetro</w:t>
            </w:r>
          </w:p>
        </w:tc>
        <w:tc>
          <w:tcPr/>
          <w:p>
            <w:pPr>
              <w:pStyle w:val="Compact"/>
            </w:pPr>
            <w:r>
              <w:t xml:space="preserve">LGPD art. 33 e art. 6º</w:t>
            </w:r>
          </w:p>
        </w:tc>
        <w:tc>
          <w:tcPr/>
          <w:p>
            <w:pPr>
              <w:pStyle w:val="Compact"/>
            </w:pPr>
            <w:r>
              <w:t xml:space="preserve">Inventário do que sai por motor; filtro de CPF, e-mail e telefone antes da chamada (CTRL-GOV-008); implantação local como decisão de arquitetura</w:t>
            </w:r>
          </w:p>
        </w:tc>
        <w:tc>
          <w:tcPr/>
          <w:p>
            <w:pPr>
              <w:pStyle w:val="Compact"/>
            </w:pPr>
            <w:r>
              <w:t xml:space="preserve">Entrada e motor</w:t>
            </w:r>
          </w:p>
        </w:tc>
        <w:tc>
          <w:tcPr/>
          <w:p>
            <w:pPr>
              <w:pStyle w:val="Compact"/>
            </w:pPr>
            <w:r>
              <w:t xml:space="preserve">projetado para atender, com o controle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REG-ANPD-001 Mitigação de alucinação</w:t>
            </w:r>
          </w:p>
        </w:tc>
        <w:tc>
          <w:tcPr/>
          <w:p>
            <w:pPr>
              <w:pStyle w:val="Compact"/>
            </w:pPr>
            <w:r>
              <w:t xml:space="preserve">ANPD, Radar de IA generativa</w:t>
            </w:r>
          </w:p>
        </w:tc>
        <w:tc>
          <w:tcPr/>
          <w:p>
            <w:pPr>
              <w:pStyle w:val="Compact"/>
            </w:pPr>
            <w:r>
              <w:t xml:space="preserve">Aterramento das tabelas citadas (CTRL-VALID-001); instrução de recusa; verificador determinista. Não mitiga resposta inventada dentro do escopo</w:t>
            </w:r>
          </w:p>
        </w:tc>
        <w:tc>
          <w:tcPr/>
          <w:p>
            <w:pPr>
              <w:pStyle w:val="Compact"/>
            </w:pPr>
            <w:r>
              <w:t xml:space="preserve">Saída e motor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REG-ANPD-002 Prevenção de uso secundário</w:t>
            </w:r>
          </w:p>
        </w:tc>
        <w:tc>
          <w:tcPr/>
          <w:p>
            <w:pPr>
              <w:pStyle w:val="Compact"/>
            </w:pPr>
            <w:r>
              <w:t xml:space="preserve">ANPD, Radar de IA generativa</w:t>
            </w:r>
          </w:p>
        </w:tc>
        <w:tc>
          <w:tcPr/>
          <w:p>
            <w:pPr>
              <w:pStyle w:val="Compact"/>
            </w:pPr>
            <w:r>
              <w:t xml:space="preserve">Escopo por perfil, execução somente leitura e registro integral</w:t>
            </w:r>
          </w:p>
        </w:tc>
        <w:tc>
          <w:tcPr/>
          <w:p>
            <w:pPr>
              <w:pStyle w:val="Compact"/>
            </w:pPr>
            <w:r>
              <w:t xml:space="preserve">Entrada e auditoria</w:t>
            </w:r>
          </w:p>
        </w:tc>
        <w:tc>
          <w:tcPr/>
          <w:p>
            <w:pPr>
              <w:pStyle w:val="Compact"/>
            </w:pPr>
            <w:r>
              <w:t xml:space="preserve">implementado; validado com o conjunto adversarial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REG-ANVISA-001 Controle, segurança e rastreabilidade de software em saúde</w:t>
            </w:r>
          </w:p>
        </w:tc>
        <w:tc>
          <w:tcPr/>
          <w:p>
            <w:pPr>
              <w:pStyle w:val="Compact"/>
            </w:pPr>
            <w:r>
              <w:t xml:space="preserve">RDC 657/2022, por analogia</w:t>
            </w:r>
          </w:p>
        </w:tc>
        <w:tc>
          <w:tcPr/>
          <w:p>
            <w:pPr>
              <w:pStyle w:val="Compact"/>
            </w:pPr>
            <w:r>
              <w:t xml:space="preserve">Controles versionados, auditoria e reprodutibilidade</w:t>
            </w:r>
          </w:p>
        </w:tc>
        <w:tc>
          <w:tcPr/>
          <w:p>
            <w:pPr>
              <w:pStyle w:val="Compact"/>
            </w:pPr>
            <w: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t xml:space="preserve">projetado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REG-PESQ-001 Reprodutibilidade e integridade do experimento</w:t>
            </w:r>
          </w:p>
        </w:tc>
        <w:tc>
          <w:tcPr/>
          <w:p>
            <w:pPr>
              <w:pStyle w:val="Compact"/>
            </w:pPr>
            <w:r>
              <w:t xml:space="preserve">Boas práticas de pesquisa</w:t>
            </w:r>
          </w:p>
        </w:tc>
        <w:tc>
          <w:tcPr/>
          <w:p>
            <w:pPr>
              <w:pStyle w:val="Compact"/>
            </w:pPr>
            <w:r>
              <w:t xml:space="preserve">Semente e data de referência fixas; dados sintéticos; números só de motor real; artefatos versionados com tag</w:t>
            </w:r>
          </w:p>
        </w:tc>
        <w:tc>
          <w:tcPr/>
          <w:p>
            <w:pPr>
              <w:pStyle w:val="Compact"/>
            </w:pPr>
            <w: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t xml:space="preserve">por configuração</w:t>
            </w:r>
          </w:p>
        </w:tc>
      </w:tr>
    </w:tbl>
    <w:p>
      <w:pPr>
        <w:pStyle w:val="FonteTabela"/>
      </w:pPr>
      <w:r>
        <w:t xml:space="preserve">Fonte: Dados originais da pesquisa</w:t>
      </w:r>
    </w:p>
    <w:bookmarkEnd w:id="51"/>
    <w:sectPr w:rsidR="00FE14AF" w:rsidRPr="000B508B" w:rsidSect="00346452">
      <w:headerReference r:id="rId11" w:type="even"/>
      <w:headerReference r:id="rId12" w:type="default"/>
      <w:footerReference r:id="rId13" w:type="even"/>
      <w:footerReference r:id="rId14" w:type="default"/>
      <w:headerReference r:id="rId15" w:type="first"/>
      <w:footerReference r:id="rId16" w:type="first"/>
      <w:pgSz w:code="9" w:h="16838" w:w="11906"/>
      <w:pgMar w:bottom="1418" w:footer="709" w:gutter="0" w:header="709" w:left="1418" w:right="1418" w:top="1418"/>
      <w:pgNumType w:start="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E4B5" w14:textId="77777777" w:rsidR="005D1B26" w:rsidRDefault="005D1B2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0677" w14:textId="1EFF9085" w:rsidR="00EF1565" w:rsidRPr="00EF1565" w:rsidRDefault="00EF1565">
    <w:pPr>
      <w:pStyle w:val="Rodap"/>
      <w:jc w:val="right"/>
      <w:rPr>
        <w:sz w:val="18"/>
        <w:szCs w:val="18"/>
      </w:rPr>
    </w:pPr>
    <w:r w:rsidRPr="00EF1565">
      <w:rPr>
        <w:sz w:val="18"/>
        <w:szCs w:val="18"/>
      </w:rPr>
      <w:fldChar w:fldCharType="begin"/>
    </w:r>
    <w:r w:rsidRPr="00EF1565">
      <w:rPr>
        <w:sz w:val="18"/>
        <w:szCs w:val="18"/>
      </w:rPr>
      <w:instrText>PAGE   \* MERGEFORMAT</w:instrText>
    </w:r>
    <w:r w:rsidRPr="00EF1565">
      <w:rPr>
        <w:sz w:val="18"/>
        <w:szCs w:val="18"/>
      </w:rPr>
      <w:fldChar w:fldCharType="separate"/>
    </w:r>
    <w:r w:rsidR="00811DE0">
      <w:rPr>
        <w:noProof/>
        <w:sz w:val="18"/>
        <w:szCs w:val="18"/>
      </w:rPr>
      <w:t>4</w:t>
    </w:r>
    <w:r w:rsidRPr="00EF1565">
      <w:rPr>
        <w:sz w:val="18"/>
        <w:szCs w:val="18"/>
      </w:rPr>
      <w:fldChar w:fldCharType="end"/>
    </w:r>
  </w:p>
  <w:p w14:paraId="25D1DCB2" w14:textId="77777777" w:rsidR="00D92CD6" w:rsidRDefault="00D92CD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588E" w14:textId="77777777" w:rsidR="0094025E" w:rsidRDefault="0094025E">
    <w:pPr>
      <w:pStyle w:val="Rodap"/>
      <w:jc w:val="right"/>
    </w:pPr>
  </w:p>
  <w:p w14:paraId="05550BF1" w14:textId="77777777" w:rsidR="0094025E" w:rsidRDefault="0094025E">
    <w:pPr>
      <w:pStyle w:val="Rodap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E5BDC" w14:textId="77777777" w:rsidR="005D1B26" w:rsidRDefault="005D1B2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056D" w14:textId="77777777" w:rsidR="00822646" w:rsidRPr="00D52F94" w:rsidRDefault="00822646" w:rsidP="0084737F">
    <w:pPr>
      <w:pStyle w:val="SemEspaamento"/>
      <w:ind w:right="3968"/>
      <w:rPr>
        <w:sz w:val="16"/>
        <w:szCs w:val="17"/>
      </w:rPr>
    </w:pPr>
    <w:r>
      <w:rPr>
        <w:noProof/>
      </w:rPr>
      <w:drawing>
        <wp:anchor distT="0" distB="0" distL="114300" distR="114300" simplePos="0" relativeHeight="251676672" behindDoc="0" locked="0" layoutInCell="1" allowOverlap="1" wp14:anchorId="15F5FC70" wp14:editId="18E219A0">
          <wp:simplePos x="0" y="0"/>
          <wp:positionH relativeFrom="margin">
            <wp:posOffset>5029200</wp:posOffset>
          </wp:positionH>
          <wp:positionV relativeFrom="paragraph">
            <wp:posOffset>-10160</wp:posOffset>
          </wp:positionV>
          <wp:extent cx="723900" cy="298450"/>
          <wp:effectExtent l="0" t="0" r="0" b="6350"/>
          <wp:wrapThrough wrapText="bothSides">
            <wp:wrapPolygon edited="0">
              <wp:start x="0" y="0"/>
              <wp:lineTo x="0" y="20681"/>
              <wp:lineTo x="21032" y="20681"/>
              <wp:lineTo x="21032" y="0"/>
              <wp:lineTo x="0" y="0"/>
            </wp:wrapPolygon>
          </wp:wrapThrough>
          <wp:docPr id="1803984902" name="Imagem 1803984902" descr="Desenho com traços pretos em fund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734149" name="Imagem 3" descr="Desenho com traços pretos em fund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298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7"/>
      </w:rPr>
      <w:t>Trabalho</w:t>
    </w:r>
    <w:r w:rsidRPr="00D52F94">
      <w:rPr>
        <w:sz w:val="16"/>
        <w:szCs w:val="17"/>
      </w:rPr>
      <w:t xml:space="preserve"> </w:t>
    </w:r>
    <w:r>
      <w:rPr>
        <w:sz w:val="16"/>
        <w:szCs w:val="17"/>
      </w:rPr>
      <w:t xml:space="preserve">de Conclusão de Curso </w:t>
    </w:r>
    <w:r w:rsidRPr="00D52F94">
      <w:rPr>
        <w:sz w:val="16"/>
        <w:szCs w:val="17"/>
      </w:rPr>
      <w:t>apresentad</w:t>
    </w:r>
    <w:r>
      <w:rPr>
        <w:sz w:val="16"/>
        <w:szCs w:val="17"/>
      </w:rPr>
      <w:t>o</w:t>
    </w:r>
    <w:r w:rsidRPr="00D52F94">
      <w:rPr>
        <w:sz w:val="16"/>
        <w:szCs w:val="17"/>
      </w:rPr>
      <w:t xml:space="preserve"> para obtenção do título de especialista em</w:t>
    </w:r>
    <w:r>
      <w:rPr>
        <w:sz w:val="16"/>
        <w:szCs w:val="17"/>
      </w:rPr>
      <w:t xml:space="preserve"> Engenharia de Software – 2026</w:t>
    </w:r>
    <w:r w:rsidRPr="004D48C1">
      <w:t xml:space="preserve"> </w:t>
    </w:r>
  </w:p>
  <w:p w14:paraId="73E404DB" w14:textId="4B3E063E" w:rsidR="00822646" w:rsidRDefault="00822646" w:rsidP="0084737F">
    <w:pPr>
      <w:pStyle w:val="Cabealho"/>
      <w:tabs>
        <w:tab w:val="clear" w:pos="4252"/>
        <w:tab w:val="clear" w:pos="8504"/>
        <w:tab w:val="left" w:pos="1785"/>
      </w:tabs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4FDC6CC" wp14:editId="06C05861">
              <wp:simplePos x="0" y="0"/>
              <wp:positionH relativeFrom="margin">
                <wp:align>right</wp:align>
              </wp:positionH>
              <wp:positionV relativeFrom="paragraph">
                <wp:posOffset>106680</wp:posOffset>
              </wp:positionV>
              <wp:extent cx="5753100" cy="0"/>
              <wp:effectExtent l="0" t="0" r="0" b="0"/>
              <wp:wrapNone/>
              <wp:docPr id="844941520" name="Conector reto 8449415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531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9FA65D" id="Conector reto 844941520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1.8pt,8.4pt" to="854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" strokecolor="#5a5a5a [2109]" strokeweight=".25pt">
              <w10:wrap anchorx="margin"/>
            </v:line>
          </w:pict>
        </mc:Fallback>
      </mc:AlternateContent>
    </w:r>
  </w:p>
  <w:p w14:paraId="0D9B32BC" w14:textId="77777777" w:rsidR="00822646" w:rsidRPr="00D92CD6" w:rsidRDefault="00822646" w:rsidP="0084737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BFC29" w14:textId="77777777" w:rsidR="005D1B26" w:rsidRDefault="005D1B26">
    <w:pPr>
      <w:pStyle w:val="Cabealho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585B6087"/>
    <w:multiLevelType w:val="hybridMultilevel"/>
    <w:tmpl w:val="9D705362"/>
    <w:lvl w:ilvl="0" w:tplc="01989CAA">
      <w:start w:val="1"/>
      <w:numFmt w:val="decimal"/>
      <w:lvlText w:val="%1."/>
      <w:lvlJc w:val="left"/>
      <w:pPr>
        <w:ind w:hanging="360" w:left="720"/>
      </w:pPr>
      <w:rPr>
        <w:rFonts w:hint="default"/>
        <w:b/>
      </w:rPr>
    </w:lvl>
    <w:lvl w:ilvl="1" w:tentative="1" w:tplc="04160019">
      <w:start w:val="1"/>
      <w:numFmt w:val="lowerLetter"/>
      <w:lvlText w:val="%2."/>
      <w:lvlJc w:val="left"/>
      <w:pPr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77147F67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574"/>
      </w:pPr>
    </w:lvl>
    <w:lvl w:ilvl="2">
      <w:start w:val="1"/>
      <w:numFmt w:val="decimal"/>
      <w:lvlText w:val="%1.%2.%3."/>
      <w:lvlJc w:val="left"/>
      <w:pPr>
        <w:ind w:hanging="504" w:left="646"/>
      </w:pPr>
    </w:lvl>
    <w:lvl w:ilvl="3">
      <w:start w:val="1"/>
      <w:numFmt w:val="decimal"/>
      <w:lvlText w:val="%1.%2.%3.%4."/>
      <w:lvlJc w:val="left"/>
      <w:pPr>
        <w:ind w:hanging="648" w:left="932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71783379" w:numId="1">
    <w:abstractNumId w:val="1"/>
  </w:num>
  <w:num w16cid:durableId="1546257329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11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FEB"/>
    <w:rsid w:val="00002D22"/>
    <w:rsid w:val="00002FED"/>
    <w:rsid w:val="0000516E"/>
    <w:rsid w:val="00005FB7"/>
    <w:rsid w:val="00010625"/>
    <w:rsid w:val="000121A2"/>
    <w:rsid w:val="000129BF"/>
    <w:rsid w:val="00015A3B"/>
    <w:rsid w:val="00024059"/>
    <w:rsid w:val="000250B4"/>
    <w:rsid w:val="000318BF"/>
    <w:rsid w:val="0003392C"/>
    <w:rsid w:val="00033ABE"/>
    <w:rsid w:val="000379B9"/>
    <w:rsid w:val="000414DF"/>
    <w:rsid w:val="00042541"/>
    <w:rsid w:val="000558A6"/>
    <w:rsid w:val="0006184C"/>
    <w:rsid w:val="0006582A"/>
    <w:rsid w:val="00080BC8"/>
    <w:rsid w:val="00085259"/>
    <w:rsid w:val="000A1F2D"/>
    <w:rsid w:val="000A23B0"/>
    <w:rsid w:val="000A3547"/>
    <w:rsid w:val="000A46BE"/>
    <w:rsid w:val="000A64CD"/>
    <w:rsid w:val="000A7332"/>
    <w:rsid w:val="000B508B"/>
    <w:rsid w:val="000B6C41"/>
    <w:rsid w:val="000C043D"/>
    <w:rsid w:val="000C3C52"/>
    <w:rsid w:val="000C5E50"/>
    <w:rsid w:val="000D65A6"/>
    <w:rsid w:val="000D7128"/>
    <w:rsid w:val="000E6826"/>
    <w:rsid w:val="000F06D0"/>
    <w:rsid w:val="000F3312"/>
    <w:rsid w:val="000F7383"/>
    <w:rsid w:val="00103C8C"/>
    <w:rsid w:val="0010566C"/>
    <w:rsid w:val="00106E6C"/>
    <w:rsid w:val="00111217"/>
    <w:rsid w:val="001179F3"/>
    <w:rsid w:val="00123A50"/>
    <w:rsid w:val="00132BD8"/>
    <w:rsid w:val="001349B7"/>
    <w:rsid w:val="0014260C"/>
    <w:rsid w:val="0014314B"/>
    <w:rsid w:val="0015596D"/>
    <w:rsid w:val="00155FEB"/>
    <w:rsid w:val="001623CB"/>
    <w:rsid w:val="001650D8"/>
    <w:rsid w:val="00167B6E"/>
    <w:rsid w:val="00173435"/>
    <w:rsid w:val="0017695E"/>
    <w:rsid w:val="0018079B"/>
    <w:rsid w:val="00183B05"/>
    <w:rsid w:val="00187D7A"/>
    <w:rsid w:val="00196DB1"/>
    <w:rsid w:val="001A1471"/>
    <w:rsid w:val="001A2B26"/>
    <w:rsid w:val="001A3AE9"/>
    <w:rsid w:val="001B0BBE"/>
    <w:rsid w:val="001B29CD"/>
    <w:rsid w:val="001B7001"/>
    <w:rsid w:val="001B7C5F"/>
    <w:rsid w:val="001E108A"/>
    <w:rsid w:val="001E6121"/>
    <w:rsid w:val="001E6B8D"/>
    <w:rsid w:val="001F0A4F"/>
    <w:rsid w:val="001F2301"/>
    <w:rsid w:val="001F5096"/>
    <w:rsid w:val="001F677B"/>
    <w:rsid w:val="002013ED"/>
    <w:rsid w:val="002138F6"/>
    <w:rsid w:val="00214A52"/>
    <w:rsid w:val="00221EC9"/>
    <w:rsid w:val="00222913"/>
    <w:rsid w:val="00222FB8"/>
    <w:rsid w:val="00225427"/>
    <w:rsid w:val="0023417B"/>
    <w:rsid w:val="00244168"/>
    <w:rsid w:val="00244916"/>
    <w:rsid w:val="00246075"/>
    <w:rsid w:val="00247798"/>
    <w:rsid w:val="00250606"/>
    <w:rsid w:val="0025090A"/>
    <w:rsid w:val="0026130F"/>
    <w:rsid w:val="00262449"/>
    <w:rsid w:val="0026400A"/>
    <w:rsid w:val="00266914"/>
    <w:rsid w:val="00273955"/>
    <w:rsid w:val="00275D85"/>
    <w:rsid w:val="00281B98"/>
    <w:rsid w:val="00282166"/>
    <w:rsid w:val="00286FB4"/>
    <w:rsid w:val="002875D3"/>
    <w:rsid w:val="00293269"/>
    <w:rsid w:val="00295E7E"/>
    <w:rsid w:val="00296614"/>
    <w:rsid w:val="002B5BAD"/>
    <w:rsid w:val="002B7B5A"/>
    <w:rsid w:val="002D0A4C"/>
    <w:rsid w:val="002D35E9"/>
    <w:rsid w:val="002D3B35"/>
    <w:rsid w:val="002D6078"/>
    <w:rsid w:val="002D6499"/>
    <w:rsid w:val="002D6AF2"/>
    <w:rsid w:val="002D778A"/>
    <w:rsid w:val="002E3D0D"/>
    <w:rsid w:val="002F1330"/>
    <w:rsid w:val="002F2245"/>
    <w:rsid w:val="002F3830"/>
    <w:rsid w:val="00302BCD"/>
    <w:rsid w:val="003117E5"/>
    <w:rsid w:val="00311C33"/>
    <w:rsid w:val="0031459B"/>
    <w:rsid w:val="003157C1"/>
    <w:rsid w:val="00320448"/>
    <w:rsid w:val="00323A4C"/>
    <w:rsid w:val="00325B43"/>
    <w:rsid w:val="00327B41"/>
    <w:rsid w:val="00330DB8"/>
    <w:rsid w:val="0033468D"/>
    <w:rsid w:val="00346452"/>
    <w:rsid w:val="0035192B"/>
    <w:rsid w:val="00351961"/>
    <w:rsid w:val="003542E3"/>
    <w:rsid w:val="00362B83"/>
    <w:rsid w:val="00363932"/>
    <w:rsid w:val="00364D20"/>
    <w:rsid w:val="00364EBE"/>
    <w:rsid w:val="003664E8"/>
    <w:rsid w:val="003675AB"/>
    <w:rsid w:val="003678EC"/>
    <w:rsid w:val="0037116D"/>
    <w:rsid w:val="003724DA"/>
    <w:rsid w:val="00376C38"/>
    <w:rsid w:val="0038279B"/>
    <w:rsid w:val="00382BEB"/>
    <w:rsid w:val="00383658"/>
    <w:rsid w:val="003923FF"/>
    <w:rsid w:val="003A2BF8"/>
    <w:rsid w:val="003A50AD"/>
    <w:rsid w:val="003A6B04"/>
    <w:rsid w:val="003B27A0"/>
    <w:rsid w:val="003B3E2D"/>
    <w:rsid w:val="003C0770"/>
    <w:rsid w:val="003C0DDD"/>
    <w:rsid w:val="003C1B38"/>
    <w:rsid w:val="003C65F6"/>
    <w:rsid w:val="003C7E8D"/>
    <w:rsid w:val="003E150B"/>
    <w:rsid w:val="003E36CE"/>
    <w:rsid w:val="003E64D0"/>
    <w:rsid w:val="003F02C0"/>
    <w:rsid w:val="003F1EED"/>
    <w:rsid w:val="003F72AE"/>
    <w:rsid w:val="003F77A8"/>
    <w:rsid w:val="00402E00"/>
    <w:rsid w:val="0040349A"/>
    <w:rsid w:val="00406344"/>
    <w:rsid w:val="004139D1"/>
    <w:rsid w:val="00414EA7"/>
    <w:rsid w:val="00421D0A"/>
    <w:rsid w:val="004242F4"/>
    <w:rsid w:val="00424D37"/>
    <w:rsid w:val="00433D1E"/>
    <w:rsid w:val="00433E63"/>
    <w:rsid w:val="004344B3"/>
    <w:rsid w:val="004349A6"/>
    <w:rsid w:val="00435955"/>
    <w:rsid w:val="00435976"/>
    <w:rsid w:val="0044240B"/>
    <w:rsid w:val="004453D9"/>
    <w:rsid w:val="00445A1F"/>
    <w:rsid w:val="0045201D"/>
    <w:rsid w:val="004638D2"/>
    <w:rsid w:val="00466F81"/>
    <w:rsid w:val="00467C3B"/>
    <w:rsid w:val="0047191C"/>
    <w:rsid w:val="00471D21"/>
    <w:rsid w:val="00473CFE"/>
    <w:rsid w:val="00474ACC"/>
    <w:rsid w:val="004829D7"/>
    <w:rsid w:val="00486AFC"/>
    <w:rsid w:val="004A6188"/>
    <w:rsid w:val="004B0852"/>
    <w:rsid w:val="004B3DF1"/>
    <w:rsid w:val="004B570C"/>
    <w:rsid w:val="004B6697"/>
    <w:rsid w:val="004B73BD"/>
    <w:rsid w:val="004C12D2"/>
    <w:rsid w:val="004D48C1"/>
    <w:rsid w:val="004E1ADB"/>
    <w:rsid w:val="004E2E96"/>
    <w:rsid w:val="005154B6"/>
    <w:rsid w:val="00516C5E"/>
    <w:rsid w:val="00520CE4"/>
    <w:rsid w:val="00521FEE"/>
    <w:rsid w:val="00522FDE"/>
    <w:rsid w:val="005248C3"/>
    <w:rsid w:val="00527BBF"/>
    <w:rsid w:val="00530C1C"/>
    <w:rsid w:val="005325A6"/>
    <w:rsid w:val="00532A60"/>
    <w:rsid w:val="0053780E"/>
    <w:rsid w:val="005407AB"/>
    <w:rsid w:val="005502EC"/>
    <w:rsid w:val="00551EA4"/>
    <w:rsid w:val="00556C81"/>
    <w:rsid w:val="00580198"/>
    <w:rsid w:val="00584676"/>
    <w:rsid w:val="0058770B"/>
    <w:rsid w:val="005905F2"/>
    <w:rsid w:val="00592C57"/>
    <w:rsid w:val="00593069"/>
    <w:rsid w:val="00594DC8"/>
    <w:rsid w:val="005A0D62"/>
    <w:rsid w:val="005A12F8"/>
    <w:rsid w:val="005A2BA8"/>
    <w:rsid w:val="005A2F80"/>
    <w:rsid w:val="005A4188"/>
    <w:rsid w:val="005B2400"/>
    <w:rsid w:val="005B3614"/>
    <w:rsid w:val="005B3BCF"/>
    <w:rsid w:val="005B55DF"/>
    <w:rsid w:val="005B69C1"/>
    <w:rsid w:val="005C0B45"/>
    <w:rsid w:val="005C6BA6"/>
    <w:rsid w:val="005D1B26"/>
    <w:rsid w:val="005D3C03"/>
    <w:rsid w:val="005D6B9B"/>
    <w:rsid w:val="005E318E"/>
    <w:rsid w:val="005F29F8"/>
    <w:rsid w:val="005F4EB3"/>
    <w:rsid w:val="005F5FEB"/>
    <w:rsid w:val="0062319A"/>
    <w:rsid w:val="00636D01"/>
    <w:rsid w:val="00647DBF"/>
    <w:rsid w:val="00656104"/>
    <w:rsid w:val="00657EA6"/>
    <w:rsid w:val="0066110E"/>
    <w:rsid w:val="006805F5"/>
    <w:rsid w:val="00681AD7"/>
    <w:rsid w:val="00683832"/>
    <w:rsid w:val="00684110"/>
    <w:rsid w:val="00687D18"/>
    <w:rsid w:val="006926E3"/>
    <w:rsid w:val="0069588D"/>
    <w:rsid w:val="006A0317"/>
    <w:rsid w:val="006B3841"/>
    <w:rsid w:val="006B4497"/>
    <w:rsid w:val="006B4591"/>
    <w:rsid w:val="006C2C8C"/>
    <w:rsid w:val="006C3452"/>
    <w:rsid w:val="006C720C"/>
    <w:rsid w:val="006D2995"/>
    <w:rsid w:val="006D7365"/>
    <w:rsid w:val="006D7A7F"/>
    <w:rsid w:val="006D7B11"/>
    <w:rsid w:val="006E1A8E"/>
    <w:rsid w:val="006E5837"/>
    <w:rsid w:val="006E5D44"/>
    <w:rsid w:val="006F0623"/>
    <w:rsid w:val="006F2620"/>
    <w:rsid w:val="006F566A"/>
    <w:rsid w:val="006F78BE"/>
    <w:rsid w:val="006F7EBA"/>
    <w:rsid w:val="007028AE"/>
    <w:rsid w:val="00702D03"/>
    <w:rsid w:val="00706669"/>
    <w:rsid w:val="00713C0C"/>
    <w:rsid w:val="00715294"/>
    <w:rsid w:val="0072023F"/>
    <w:rsid w:val="0072115B"/>
    <w:rsid w:val="00721949"/>
    <w:rsid w:val="00721A84"/>
    <w:rsid w:val="00723D29"/>
    <w:rsid w:val="007272C9"/>
    <w:rsid w:val="00731468"/>
    <w:rsid w:val="00740909"/>
    <w:rsid w:val="007433D4"/>
    <w:rsid w:val="0074342F"/>
    <w:rsid w:val="007450A6"/>
    <w:rsid w:val="00753001"/>
    <w:rsid w:val="007551BF"/>
    <w:rsid w:val="00767FCF"/>
    <w:rsid w:val="00770024"/>
    <w:rsid w:val="007749A1"/>
    <w:rsid w:val="0078405D"/>
    <w:rsid w:val="00784D7A"/>
    <w:rsid w:val="007854B3"/>
    <w:rsid w:val="007A2A3C"/>
    <w:rsid w:val="007A658E"/>
    <w:rsid w:val="007B0806"/>
    <w:rsid w:val="007B08E7"/>
    <w:rsid w:val="007B0FB7"/>
    <w:rsid w:val="007B1E7D"/>
    <w:rsid w:val="007C6844"/>
    <w:rsid w:val="007D6428"/>
    <w:rsid w:val="007E290A"/>
    <w:rsid w:val="007F4591"/>
    <w:rsid w:val="007F54A6"/>
    <w:rsid w:val="007F57A4"/>
    <w:rsid w:val="00800FF0"/>
    <w:rsid w:val="00811A4F"/>
    <w:rsid w:val="00811DE0"/>
    <w:rsid w:val="00812949"/>
    <w:rsid w:val="0081660B"/>
    <w:rsid w:val="00822646"/>
    <w:rsid w:val="00822F6A"/>
    <w:rsid w:val="008259B0"/>
    <w:rsid w:val="00826D39"/>
    <w:rsid w:val="008275B0"/>
    <w:rsid w:val="00833B09"/>
    <w:rsid w:val="00834D05"/>
    <w:rsid w:val="00835CCF"/>
    <w:rsid w:val="00836CE1"/>
    <w:rsid w:val="008421B8"/>
    <w:rsid w:val="00842D35"/>
    <w:rsid w:val="008443FF"/>
    <w:rsid w:val="008453BB"/>
    <w:rsid w:val="0084737F"/>
    <w:rsid w:val="00852FDC"/>
    <w:rsid w:val="008545E0"/>
    <w:rsid w:val="00860F38"/>
    <w:rsid w:val="0087237C"/>
    <w:rsid w:val="00872B6C"/>
    <w:rsid w:val="0087316E"/>
    <w:rsid w:val="0088331B"/>
    <w:rsid w:val="00884826"/>
    <w:rsid w:val="00886138"/>
    <w:rsid w:val="00886CFD"/>
    <w:rsid w:val="00890B17"/>
    <w:rsid w:val="008923FD"/>
    <w:rsid w:val="0089638E"/>
    <w:rsid w:val="008A02C5"/>
    <w:rsid w:val="008A1677"/>
    <w:rsid w:val="008A3CF6"/>
    <w:rsid w:val="008B0031"/>
    <w:rsid w:val="008B038A"/>
    <w:rsid w:val="008B0687"/>
    <w:rsid w:val="008B4775"/>
    <w:rsid w:val="008B5BBC"/>
    <w:rsid w:val="008C5578"/>
    <w:rsid w:val="008C6599"/>
    <w:rsid w:val="008C7AB1"/>
    <w:rsid w:val="008D2C4F"/>
    <w:rsid w:val="008D3984"/>
    <w:rsid w:val="008D541D"/>
    <w:rsid w:val="008E02ED"/>
    <w:rsid w:val="008E34A4"/>
    <w:rsid w:val="008E45B7"/>
    <w:rsid w:val="008E4B54"/>
    <w:rsid w:val="008F2AC4"/>
    <w:rsid w:val="008F4149"/>
    <w:rsid w:val="008F5642"/>
    <w:rsid w:val="008F707D"/>
    <w:rsid w:val="00904BC2"/>
    <w:rsid w:val="00906BFA"/>
    <w:rsid w:val="00916A5A"/>
    <w:rsid w:val="00917196"/>
    <w:rsid w:val="009248B0"/>
    <w:rsid w:val="00926F3A"/>
    <w:rsid w:val="009319BD"/>
    <w:rsid w:val="00931D71"/>
    <w:rsid w:val="00932E28"/>
    <w:rsid w:val="0093332B"/>
    <w:rsid w:val="0094025E"/>
    <w:rsid w:val="0094383B"/>
    <w:rsid w:val="00943F5A"/>
    <w:rsid w:val="009629EB"/>
    <w:rsid w:val="00964DE5"/>
    <w:rsid w:val="00973982"/>
    <w:rsid w:val="00981503"/>
    <w:rsid w:val="009924AC"/>
    <w:rsid w:val="00992731"/>
    <w:rsid w:val="00992A07"/>
    <w:rsid w:val="009934FC"/>
    <w:rsid w:val="009A06AA"/>
    <w:rsid w:val="009A1FFE"/>
    <w:rsid w:val="009A2B5F"/>
    <w:rsid w:val="009C5437"/>
    <w:rsid w:val="009D2D67"/>
    <w:rsid w:val="009D4560"/>
    <w:rsid w:val="009D7441"/>
    <w:rsid w:val="009D7C2D"/>
    <w:rsid w:val="009E3D42"/>
    <w:rsid w:val="009E6355"/>
    <w:rsid w:val="009E7FB7"/>
    <w:rsid w:val="009F11F4"/>
    <w:rsid w:val="009F43AE"/>
    <w:rsid w:val="009F4927"/>
    <w:rsid w:val="00A045BD"/>
    <w:rsid w:val="00A06683"/>
    <w:rsid w:val="00A143E9"/>
    <w:rsid w:val="00A3138A"/>
    <w:rsid w:val="00A4125E"/>
    <w:rsid w:val="00A44F29"/>
    <w:rsid w:val="00A46080"/>
    <w:rsid w:val="00A464FF"/>
    <w:rsid w:val="00A472A0"/>
    <w:rsid w:val="00A47C29"/>
    <w:rsid w:val="00A47DAE"/>
    <w:rsid w:val="00A52C33"/>
    <w:rsid w:val="00A52F5E"/>
    <w:rsid w:val="00A575E1"/>
    <w:rsid w:val="00A65683"/>
    <w:rsid w:val="00A67C44"/>
    <w:rsid w:val="00A74221"/>
    <w:rsid w:val="00A74EC3"/>
    <w:rsid w:val="00A7611A"/>
    <w:rsid w:val="00A7743E"/>
    <w:rsid w:val="00A77E1E"/>
    <w:rsid w:val="00A77E89"/>
    <w:rsid w:val="00A81776"/>
    <w:rsid w:val="00A82D84"/>
    <w:rsid w:val="00AA1EDC"/>
    <w:rsid w:val="00AA6708"/>
    <w:rsid w:val="00AB3AFC"/>
    <w:rsid w:val="00AB5872"/>
    <w:rsid w:val="00AC5332"/>
    <w:rsid w:val="00AE2179"/>
    <w:rsid w:val="00AF0507"/>
    <w:rsid w:val="00AF384D"/>
    <w:rsid w:val="00AF625F"/>
    <w:rsid w:val="00AF66C1"/>
    <w:rsid w:val="00AF7A61"/>
    <w:rsid w:val="00B00F31"/>
    <w:rsid w:val="00B0110A"/>
    <w:rsid w:val="00B057DD"/>
    <w:rsid w:val="00B121FD"/>
    <w:rsid w:val="00B15503"/>
    <w:rsid w:val="00B160C8"/>
    <w:rsid w:val="00B251CF"/>
    <w:rsid w:val="00B34D23"/>
    <w:rsid w:val="00B35358"/>
    <w:rsid w:val="00B35F3F"/>
    <w:rsid w:val="00B523BB"/>
    <w:rsid w:val="00B5289B"/>
    <w:rsid w:val="00B5612B"/>
    <w:rsid w:val="00B57893"/>
    <w:rsid w:val="00B61F0B"/>
    <w:rsid w:val="00B666A7"/>
    <w:rsid w:val="00B67CC1"/>
    <w:rsid w:val="00B73815"/>
    <w:rsid w:val="00B73DB7"/>
    <w:rsid w:val="00B754B6"/>
    <w:rsid w:val="00B75E60"/>
    <w:rsid w:val="00B87C3E"/>
    <w:rsid w:val="00B9605E"/>
    <w:rsid w:val="00BA0816"/>
    <w:rsid w:val="00BA46B0"/>
    <w:rsid w:val="00BA6DB1"/>
    <w:rsid w:val="00BB1185"/>
    <w:rsid w:val="00BB309B"/>
    <w:rsid w:val="00BB4B6C"/>
    <w:rsid w:val="00BB536E"/>
    <w:rsid w:val="00BB5AD1"/>
    <w:rsid w:val="00BB5F29"/>
    <w:rsid w:val="00BB71DF"/>
    <w:rsid w:val="00BD1169"/>
    <w:rsid w:val="00BD34AF"/>
    <w:rsid w:val="00BD553F"/>
    <w:rsid w:val="00BD7975"/>
    <w:rsid w:val="00BE69F5"/>
    <w:rsid w:val="00BF2F82"/>
    <w:rsid w:val="00BF7046"/>
    <w:rsid w:val="00C03610"/>
    <w:rsid w:val="00C0430F"/>
    <w:rsid w:val="00C078A5"/>
    <w:rsid w:val="00C232C9"/>
    <w:rsid w:val="00C24BEA"/>
    <w:rsid w:val="00C26E78"/>
    <w:rsid w:val="00C278FE"/>
    <w:rsid w:val="00C32EE4"/>
    <w:rsid w:val="00C32F20"/>
    <w:rsid w:val="00C55413"/>
    <w:rsid w:val="00C55528"/>
    <w:rsid w:val="00C56AA8"/>
    <w:rsid w:val="00C6199B"/>
    <w:rsid w:val="00C64E7D"/>
    <w:rsid w:val="00C651A5"/>
    <w:rsid w:val="00C7177A"/>
    <w:rsid w:val="00C73EAF"/>
    <w:rsid w:val="00C77BD3"/>
    <w:rsid w:val="00C82732"/>
    <w:rsid w:val="00C8635B"/>
    <w:rsid w:val="00C8729A"/>
    <w:rsid w:val="00C94381"/>
    <w:rsid w:val="00CA3CF8"/>
    <w:rsid w:val="00CA4788"/>
    <w:rsid w:val="00CA75CC"/>
    <w:rsid w:val="00CA75F3"/>
    <w:rsid w:val="00CB3A48"/>
    <w:rsid w:val="00CB4C42"/>
    <w:rsid w:val="00CC0E3E"/>
    <w:rsid w:val="00CC2AF5"/>
    <w:rsid w:val="00CC3CB5"/>
    <w:rsid w:val="00CC6166"/>
    <w:rsid w:val="00CD612F"/>
    <w:rsid w:val="00CD61E0"/>
    <w:rsid w:val="00CD7E25"/>
    <w:rsid w:val="00CE3E82"/>
    <w:rsid w:val="00CE3EB4"/>
    <w:rsid w:val="00CE617C"/>
    <w:rsid w:val="00CF4624"/>
    <w:rsid w:val="00CF5BE5"/>
    <w:rsid w:val="00CF76FD"/>
    <w:rsid w:val="00D0473F"/>
    <w:rsid w:val="00D172FA"/>
    <w:rsid w:val="00D20B96"/>
    <w:rsid w:val="00D2204B"/>
    <w:rsid w:val="00D31253"/>
    <w:rsid w:val="00D35847"/>
    <w:rsid w:val="00D430F6"/>
    <w:rsid w:val="00D43D03"/>
    <w:rsid w:val="00D45EA7"/>
    <w:rsid w:val="00D475D2"/>
    <w:rsid w:val="00D50856"/>
    <w:rsid w:val="00D52F94"/>
    <w:rsid w:val="00D65298"/>
    <w:rsid w:val="00D706A2"/>
    <w:rsid w:val="00D72013"/>
    <w:rsid w:val="00D757B2"/>
    <w:rsid w:val="00D85677"/>
    <w:rsid w:val="00D91E0D"/>
    <w:rsid w:val="00D92CD6"/>
    <w:rsid w:val="00D93A72"/>
    <w:rsid w:val="00DB07AF"/>
    <w:rsid w:val="00DB1D8D"/>
    <w:rsid w:val="00DB4B1B"/>
    <w:rsid w:val="00DB5464"/>
    <w:rsid w:val="00DC1FA9"/>
    <w:rsid w:val="00DD0D55"/>
    <w:rsid w:val="00DD423D"/>
    <w:rsid w:val="00DD6CA9"/>
    <w:rsid w:val="00DE0ECC"/>
    <w:rsid w:val="00DE4D59"/>
    <w:rsid w:val="00DE7506"/>
    <w:rsid w:val="00DF03DC"/>
    <w:rsid w:val="00DF0D6E"/>
    <w:rsid w:val="00E0030F"/>
    <w:rsid w:val="00E0114C"/>
    <w:rsid w:val="00E01DDA"/>
    <w:rsid w:val="00E05E3E"/>
    <w:rsid w:val="00E12124"/>
    <w:rsid w:val="00E12A3E"/>
    <w:rsid w:val="00E14849"/>
    <w:rsid w:val="00E16313"/>
    <w:rsid w:val="00E1740E"/>
    <w:rsid w:val="00E20804"/>
    <w:rsid w:val="00E255A5"/>
    <w:rsid w:val="00E25839"/>
    <w:rsid w:val="00E3132F"/>
    <w:rsid w:val="00E37B97"/>
    <w:rsid w:val="00E45517"/>
    <w:rsid w:val="00E470FC"/>
    <w:rsid w:val="00E54D23"/>
    <w:rsid w:val="00E5522F"/>
    <w:rsid w:val="00E575F6"/>
    <w:rsid w:val="00E61157"/>
    <w:rsid w:val="00E71060"/>
    <w:rsid w:val="00E80C1F"/>
    <w:rsid w:val="00E835B5"/>
    <w:rsid w:val="00E87EBF"/>
    <w:rsid w:val="00E92DB9"/>
    <w:rsid w:val="00E9452C"/>
    <w:rsid w:val="00EA072E"/>
    <w:rsid w:val="00EA1390"/>
    <w:rsid w:val="00EA1D8A"/>
    <w:rsid w:val="00EA275D"/>
    <w:rsid w:val="00EA60A7"/>
    <w:rsid w:val="00EA66D6"/>
    <w:rsid w:val="00EB1E46"/>
    <w:rsid w:val="00EB3BDE"/>
    <w:rsid w:val="00EB5E64"/>
    <w:rsid w:val="00EC22D7"/>
    <w:rsid w:val="00EC7116"/>
    <w:rsid w:val="00ED77AE"/>
    <w:rsid w:val="00EE21D2"/>
    <w:rsid w:val="00EE487E"/>
    <w:rsid w:val="00EE568D"/>
    <w:rsid w:val="00EE604D"/>
    <w:rsid w:val="00EE773C"/>
    <w:rsid w:val="00EF1565"/>
    <w:rsid w:val="00EF1F11"/>
    <w:rsid w:val="00EF3BA4"/>
    <w:rsid w:val="00EF3BB2"/>
    <w:rsid w:val="00EF52B5"/>
    <w:rsid w:val="00EF654F"/>
    <w:rsid w:val="00EF7DDF"/>
    <w:rsid w:val="00F0090B"/>
    <w:rsid w:val="00F0606D"/>
    <w:rsid w:val="00F060A0"/>
    <w:rsid w:val="00F070EE"/>
    <w:rsid w:val="00F14CB3"/>
    <w:rsid w:val="00F21C79"/>
    <w:rsid w:val="00F23EFD"/>
    <w:rsid w:val="00F30BB0"/>
    <w:rsid w:val="00F3310F"/>
    <w:rsid w:val="00F535FD"/>
    <w:rsid w:val="00F55615"/>
    <w:rsid w:val="00F56CDC"/>
    <w:rsid w:val="00F624CF"/>
    <w:rsid w:val="00F64035"/>
    <w:rsid w:val="00F80D3F"/>
    <w:rsid w:val="00F8568D"/>
    <w:rsid w:val="00F87530"/>
    <w:rsid w:val="00F91A5E"/>
    <w:rsid w:val="00F92198"/>
    <w:rsid w:val="00F95F8E"/>
    <w:rsid w:val="00FA6EA6"/>
    <w:rsid w:val="00FA6ECF"/>
    <w:rsid w:val="00FB42DE"/>
    <w:rsid w:val="00FB4469"/>
    <w:rsid w:val="00FC50EF"/>
    <w:rsid w:val="00FD2C4C"/>
    <w:rsid w:val="00FD4E5F"/>
    <w:rsid w:val="00FE14AF"/>
    <w:rsid w:val="00FE46A3"/>
    <w:rsid w:val="00FE52BF"/>
    <w:rsid w:val="00FF0C72"/>
    <w:rsid w:val="00FF4E32"/>
  </w:rsids>
  <w:themeFontLang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Theme="minorHAnsi" w:hAnsi="Arial"/>
        <w:sz w:val="22"/>
        <w:szCs w:val="22"/>
        <w:lang w:bidi="ar-SA" w:eastAsia="en-US" w:val="pt-BR"/>
      </w:rPr>
    </w:rPrDefault>
    <w:pPrDefault>
      <w:pPr>
        <w:spacing w:line="276" w:lineRule="auto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2" w:type="paragraph">
    <w:name w:val="heading 2"/>
    <w:basedOn w:val="Normal"/>
    <w:next w:val="Normal"/>
    <w:link w:val="Ttulo2Char"/>
    <w:uiPriority w:val="9"/>
    <w:unhideWhenUsed/>
    <w:qFormat/>
    <w:rsid w:val="000414DF"/>
    <w:pPr>
      <w:keepNext/>
      <w:keepLines/>
      <w:spacing w:before="200"/>
      <w:jc w:val="left"/>
      <w:outlineLvl w:val="1"/>
    </w:pPr>
    <w:rPr>
      <w:rFonts w:cstheme="majorBidi" w:eastAsiaTheme="majorEastAsia"/>
      <w:b/>
      <w:bCs/>
      <w:color w:themeColor="text1" w:val="000000"/>
      <w:szCs w:val="26"/>
      <w:lang w:val="en-US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Ttulo2Char" w:type="character">
    <w:name w:val="Título 2 Char"/>
    <w:basedOn w:val="Fontepargpadro"/>
    <w:link w:val="Ttulo2"/>
    <w:uiPriority w:val="9"/>
    <w:rsid w:val="000414DF"/>
    <w:rPr>
      <w:rFonts w:ascii="Arial" w:cstheme="majorBidi" w:eastAsiaTheme="majorEastAsia" w:hAnsi="Arial"/>
      <w:b/>
      <w:bCs/>
      <w:color w:themeColor="text1" w:val="000000"/>
      <w:szCs w:val="26"/>
      <w:lang w:val="en-US"/>
    </w:rPr>
  </w:style>
  <w:style w:styleId="Nmerodelinha" w:type="character">
    <w:name w:val="line number"/>
    <w:basedOn w:val="Fontepargpadro"/>
    <w:uiPriority w:val="99"/>
    <w:semiHidden/>
    <w:unhideWhenUsed/>
    <w:rsid w:val="005F5FEB"/>
  </w:style>
  <w:style w:styleId="Cabealho" w:type="paragraph">
    <w:name w:val="header"/>
    <w:basedOn w:val="Normal"/>
    <w:link w:val="CabealhoChar"/>
    <w:uiPriority w:val="99"/>
    <w:unhideWhenUsed/>
    <w:rsid w:val="005F5FEB"/>
    <w:pPr>
      <w:tabs>
        <w:tab w:pos="4252" w:val="center"/>
        <w:tab w:pos="8504" w:val="right"/>
      </w:tabs>
      <w:spacing w:line="240" w:lineRule="auto"/>
    </w:pPr>
  </w:style>
  <w:style w:customStyle="1" w:styleId="CabealhoChar" w:type="character">
    <w:name w:val="Cabeçalho Char"/>
    <w:basedOn w:val="Fontepargpadro"/>
    <w:link w:val="Cabealho"/>
    <w:uiPriority w:val="99"/>
    <w:rsid w:val="005F5FEB"/>
  </w:style>
  <w:style w:styleId="Rodap" w:type="paragraph">
    <w:name w:val="footer"/>
    <w:basedOn w:val="Normal"/>
    <w:link w:val="RodapChar"/>
    <w:uiPriority w:val="99"/>
    <w:unhideWhenUsed/>
    <w:rsid w:val="005F5FEB"/>
    <w:pPr>
      <w:tabs>
        <w:tab w:pos="4252" w:val="center"/>
        <w:tab w:pos="8504" w:val="right"/>
      </w:tabs>
      <w:spacing w:line="240" w:lineRule="auto"/>
    </w:pPr>
  </w:style>
  <w:style w:customStyle="1" w:styleId="RodapChar" w:type="character">
    <w:name w:val="Rodapé Char"/>
    <w:basedOn w:val="Fontepargpadro"/>
    <w:link w:val="Rodap"/>
    <w:uiPriority w:val="99"/>
    <w:rsid w:val="005F5FEB"/>
  </w:style>
  <w:style w:styleId="Hyperlink" w:type="character">
    <w:name w:val="Hyperlink"/>
    <w:basedOn w:val="Fontepargpadro"/>
    <w:uiPriority w:val="99"/>
    <w:unhideWhenUsed/>
    <w:rsid w:val="00AA1EDC"/>
    <w:rPr>
      <w:color w:themeColor="hyperlink" w:val="0000FF"/>
      <w:u w:val="single"/>
    </w:rPr>
  </w:style>
  <w:style w:styleId="Textodebalo" w:type="paragraph">
    <w:name w:val="Balloon Text"/>
    <w:basedOn w:val="Normal"/>
    <w:link w:val="TextodebaloChar"/>
    <w:uiPriority w:val="99"/>
    <w:semiHidden/>
    <w:unhideWhenUsed/>
    <w:rsid w:val="001E108A"/>
    <w:pPr>
      <w:spacing w:line="240" w:lineRule="auto"/>
    </w:pPr>
    <w:rPr>
      <w:rFonts w:ascii="Tahoma" w:cs="Tahoma" w:hAnsi="Tahoma"/>
      <w:sz w:val="16"/>
      <w:szCs w:val="16"/>
    </w:rPr>
  </w:style>
  <w:style w:customStyle="1" w:styleId="TextodebaloChar" w:type="character">
    <w:name w:val="Texto de balão Char"/>
    <w:basedOn w:val="Fontepargpadro"/>
    <w:link w:val="Textodebalo"/>
    <w:uiPriority w:val="99"/>
    <w:semiHidden/>
    <w:rsid w:val="001E108A"/>
    <w:rPr>
      <w:rFonts w:ascii="Tahoma" w:cs="Tahoma" w:hAnsi="Tahoma"/>
      <w:sz w:val="16"/>
      <w:szCs w:val="16"/>
    </w:rPr>
  </w:style>
  <w:style w:styleId="SemEspaamento" w:type="paragraph">
    <w:name w:val="No Spacing"/>
    <w:uiPriority w:val="1"/>
    <w:qFormat/>
    <w:rsid w:val="001E108A"/>
    <w:pPr>
      <w:spacing w:line="240" w:lineRule="auto"/>
    </w:pPr>
  </w:style>
  <w:style w:styleId="PargrafodaLista" w:type="paragraph">
    <w:name w:val="List Paragraph"/>
    <w:basedOn w:val="Normal"/>
    <w:uiPriority w:val="34"/>
    <w:qFormat/>
    <w:rsid w:val="009629EB"/>
    <w:pPr>
      <w:ind w:left="720"/>
      <w:contextualSpacing/>
    </w:pPr>
  </w:style>
  <w:style w:styleId="Reviso" w:type="paragraph">
    <w:name w:val="Revision"/>
    <w:hidden/>
    <w:uiPriority w:val="99"/>
    <w:semiHidden/>
    <w:rsid w:val="00AF384D"/>
    <w:pPr>
      <w:spacing w:line="240" w:lineRule="auto"/>
      <w:jc w:val="left"/>
    </w:pPr>
  </w:style>
  <w:style w:customStyle="1" w:styleId="fontstyle01" w:type="character">
    <w:name w:val="fontstyle01"/>
    <w:basedOn w:val="Fontepargpadro"/>
    <w:rsid w:val="00AF384D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Fontepargpadro"/>
    <w:rsid w:val="00DF03DC"/>
  </w:style>
  <w:style w:styleId="Tabelacomgrade" w:type="table">
    <w:name w:val="Table Grid"/>
    <w:basedOn w:val="Tabelanormal"/>
    <w:uiPriority w:val="59"/>
    <w:rsid w:val="00DB4B1B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implesTabela2" w:type="table">
    <w:name w:val="Plain Table 2"/>
    <w:basedOn w:val="Tabelanormal"/>
    <w:uiPriority w:val="42"/>
    <w:rsid w:val="00DB4B1B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MenoPendente" w:type="character">
    <w:name w:val="Unresolved Mention"/>
    <w:basedOn w:val="Fontepargpadro"/>
    <w:uiPriority w:val="99"/>
    <w:semiHidden/>
    <w:unhideWhenUsed/>
    <w:rsid w:val="009A1FFE"/>
    <w:rPr>
      <w:color w:val="605E5C"/>
      <w:shd w:color="auto" w:fill="E1DFDD" w:val="clear"/>
    </w:rPr>
  </w:style>
  <w:style w:styleId="HiperlinkVisitado" w:type="character">
    <w:name w:val="FollowedHyperlink"/>
    <w:basedOn w:val="Fontepargpadro"/>
    <w:uiPriority w:val="99"/>
    <w:semiHidden/>
    <w:unhideWhenUsed/>
    <w:rsid w:val="00740909"/>
    <w:rPr>
      <w:color w:themeColor="followedHyperlink" w:val="800080"/>
      <w:u w:val="single"/>
    </w:rPr>
  </w:style>
  <w:style w:styleId="Heading1" w:type="paragraph">
    <w:name w:val="heading 1"/>
    <w:basedOn w:val="Normal"/>
    <w:next w:val="BodyText"/>
    <w:qFormat/>
    <w:pPr>
      <w:keepNext/>
      <w:spacing w:after="120" w:before="360"/>
      <w:jc w:val="left"/>
      <w:outlineLvl w:val="0"/>
    </w:pPr>
    <w:rPr>
      <w:b/>
      <w:bCs/>
    </w:rPr>
  </w:style>
  <w:style w:styleId="Heading2" w:type="paragraph">
    <w:name w:val="heading 2"/>
    <w:basedOn w:val="Normal"/>
    <w:next w:val="BodyText"/>
    <w:qFormat/>
    <w:pPr>
      <w:keepNext/>
      <w:spacing w:after="120" w:before="240"/>
      <w:jc w:val="left"/>
      <w:outlineLvl w:val="1"/>
    </w:pPr>
    <w:rPr>
      <w:b/>
      <w:bCs/>
    </w:rPr>
  </w:style>
  <w:style w:styleId="Heading3" w:type="paragraph">
    <w:name w:val="heading 3"/>
    <w:basedOn w:val="Normal"/>
    <w:next w:val="BodyText"/>
    <w:qFormat/>
    <w:pPr>
      <w:keepNext/>
      <w:spacing w:after="100" w:before="200"/>
      <w:jc w:val="left"/>
      <w:outlineLvl w:val="2"/>
    </w:pPr>
    <w:rPr>
      <w:b/>
      <w:bCs/>
      <w:i/>
    </w:rPr>
  </w:style>
  <w:style w:styleId="BodyText" w:type="paragraph">
    <w:name w:val="Body Text"/>
    <w:basedOn w:val="Normal"/>
    <w:qFormat/>
    <w:pPr>
      <w:spacing w:after="120" w:line="360" w:lineRule="auto"/>
      <w:ind w:firstLine="709"/>
    </w:pPr>
  </w:style>
  <w:style w:styleId="FirstParagraph" w:type="paragraph">
    <w:name w:val="First Paragraph"/>
    <w:basedOn w:val="BodyText"/>
    <w:qFormat/>
  </w:style>
  <w:style w:styleId="Compact" w:type="paragraph">
    <w:name w:val="Compact"/>
    <w:basedOn w:val="Normal"/>
    <w:qFormat/>
    <w:pPr>
      <w:spacing w:after="0" w:before="0" w:line="240" w:lineRule="auto"/>
      <w:ind w:firstLine="0"/>
      <w:jc w:val="left"/>
    </w:pPr>
    <w:rPr>
      <w:sz w:val="18"/>
      <w:szCs w:val="18"/>
    </w:rPr>
  </w:style>
  <w:style w:styleId="Referencia" w:type="paragraph">
    <w:name w:val="Referencia"/>
    <w:basedOn w:val="Normal"/>
    <w:qFormat/>
    <w:pPr>
      <w:spacing w:after="200" w:before="0" w:line="240" w:lineRule="auto"/>
      <w:ind w:firstLine="0"/>
      <w:jc w:val="left"/>
    </w:pPr>
  </w:style>
  <w:style w:styleId="Legenda" w:type="paragraph">
    <w:name w:val="Legenda"/>
    <w:basedOn w:val="Normal"/>
    <w:qFormat/>
    <w:pPr>
      <w:keepNext/>
      <w:spacing w:after="80" w:before="200" w:line="240" w:lineRule="auto"/>
      <w:ind w:firstLine="0"/>
      <w:jc w:val="left"/>
    </w:pPr>
  </w:style>
  <w:style w:styleId="FonteTabela" w:type="paragraph">
    <w:name w:val="FonteTabela"/>
    <w:basedOn w:val="Normal"/>
    <w:qFormat/>
    <w:pPr>
      <w:spacing w:after="240" w:before="80" w:line="240" w:lineRule="auto"/>
      <w:ind w:firstLine="0"/>
      <w:jc w:val="left"/>
    </w:pPr>
    <w:rPr>
      <w:sz w:val="20"/>
      <w:szCs w:val="20"/>
    </w:rPr>
  </w:style>
  <w:style w:styleId="Caption" w:type="paragraph">
    <w:name w:val="caption"/>
    <w:basedOn w:val="Legenda"/>
    <w:qFormat/>
  </w:style>
  <w:style w:styleId="ImageCaption" w:type="paragraph">
    <w:name w:val="Image Caption"/>
    <w:basedOn w:val="Legenda"/>
    <w:qFormat/>
  </w:style>
  <w:style w:styleId="TableCaption" w:type="paragraph">
    <w:name w:val="Table Caption"/>
    <w:basedOn w:val="Legenda"/>
    <w:qFormat/>
  </w:style>
  <w:style w:styleId="Figure" w:type="paragraph">
    <w:name w:val="Figure"/>
    <w:basedOn w:val="Normal"/>
    <w:qFormat/>
    <w:pPr>
      <w:keepNext/>
      <w:ind w:firstLine="0"/>
      <w:jc w:val="center"/>
    </w:pPr>
  </w:style>
  <w:style w:styleId="CaptionedFigure" w:type="paragraph">
    <w:name w:val="Captioned Figure"/>
    <w:basedOn w:val="Figure"/>
    <w:qFormat/>
  </w:style>
  <w:style w:styleId="Title" w:type="paragraph">
    <w:name w:val="Title"/>
    <w:basedOn w:val="Normal"/>
    <w:next w:val="BodyText"/>
    <w:qFormat/>
    <w:pPr>
      <w:spacing w:after="240"/>
      <w:ind w:firstLine="0"/>
      <w:jc w:val="left"/>
    </w:pPr>
    <w:rPr>
      <w:b/>
      <w:bCs/>
    </w:rPr>
  </w:style>
  <w:style w:styleId="Author" w:type="paragraph">
    <w:name w:val="Author"/>
    <w:basedOn w:val="Normal"/>
    <w:qFormat/>
    <w:pPr>
      <w:ind w:firstLine="0"/>
      <w:jc w:val="left"/>
    </w:pPr>
  </w:style>
  <w:style w:styleId="Date" w:type="paragraph">
    <w:name w:val="Date"/>
    <w:basedOn w:val="Normal"/>
    <w:qFormat/>
  </w:style>
  <w:style w:styleId="Abstract" w:type="paragraph">
    <w:name w:val="Abstract"/>
    <w:basedOn w:val="Normal"/>
    <w:qFormat/>
  </w:style>
  <w:style w:styleId="BlockText" w:type="paragraph">
    <w:name w:val="Block Text"/>
    <w:basedOn w:val="Normal"/>
    <w:qFormat/>
  </w:style>
  <w:style w:styleId="FootnoteText" w:type="paragraph">
    <w:name w:val="footnote text"/>
    <w:basedOn w:val="Normal"/>
    <w:qFormat/>
    <w:pPr>
      <w:ind w:firstLine="0"/>
    </w:pPr>
    <w:rPr>
      <w:sz w:val="18"/>
    </w:rPr>
  </w:style>
  <w:style w:styleId="SourceCode" w:type="paragraph">
    <w:name w:val="Source Code"/>
    <w:basedOn w:val="Normal"/>
    <w:qFormat/>
  </w:style>
  <w:style w:styleId="Autores" w:type="paragraph">
    <w:name w:val="Autores"/>
    <w:basedOn w:val="Normal"/>
    <w:qFormat/>
    <w:pPr>
      <w:spacing w:after="120" w:before="120" w:line="240" w:lineRule="auto"/>
      <w:ind w:firstLine="0"/>
      <w:jc w:val="center"/>
    </w:pPr>
  </w:style>
  <w:style w:styleId="Endereco" w:type="paragraph">
    <w:name w:val="Endereco"/>
    <w:basedOn w:val="Normal"/>
    <w:qFormat/>
    <w:pPr>
      <w:spacing w:after="0" w:before="0" w:line="240" w:lineRule="auto"/>
      <w:ind w:firstLine="0"/>
      <w:jc w:val="left"/>
    </w:pPr>
    <w:rPr>
      <w:sz w:val="18"/>
      <w:szCs w:val="18"/>
    </w:rPr>
  </w:style>
  <w:style w:styleId="Rotulo" w:type="paragraph">
    <w:name w:val="Rotulo"/>
    <w:basedOn w:val="Normal"/>
    <w:qFormat/>
    <w:pPr>
      <w:keepNext/>
      <w:spacing w:after="120" w:before="360" w:line="240" w:lineRule="auto"/>
      <w:ind w:firstLine="0"/>
      <w:jc w:val="left"/>
    </w:pPr>
  </w:style>
  <w:style w:styleId="SemRecuo" w:type="paragraph">
    <w:name w:val="SemRecuo"/>
    <w:basedOn w:val="BodyText"/>
    <w:qFormat/>
    <w:pPr>
      <w:ind w:firstLine="0"/>
    </w:pPr>
  </w:style>
  <w:style w:styleId="ResumoTexto" w:type="paragraph">
    <w:name w:val="ResumoTexto"/>
    <w:basedOn w:val="BodyText"/>
    <w:qFormat/>
    <w:pPr>
      <w:spacing w:line="240" w:lineRule="auto"/>
    </w:pPr>
  </w:style>
  <w:style w:styleId="VerbatimChar" w:type="character">
    <w:name w:val="Verbatim Char"/>
    <w:qFormat/>
  </w:style>
  <w:style w:styleId="FootnoteReference" w:type="character">
    <w:name w:val="footnote reference"/>
    <w:qFormat/>
    <w:rPr>
      <w:vertAlign w:val="superscript"/>
    </w:rPr>
  </w:style>
  <w:style w:styleId="Table" w:type="table">
    <w:name w:val="Table"/>
    <w:basedOn w:val="Tabelanormal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1.xml" Type="http://schemas.openxmlformats.org/officeDocument/2006/relationships/footer" /><Relationship Id="rId12" Target="header2.xml" Type="http://schemas.openxmlformats.org/officeDocument/2006/relationships/header" /><Relationship Id="rId16" Target="footer3.xml" Type="http://schemas.openxmlformats.org/officeDocument/2006/relationships/footer" /><Relationship Id="rId11" Target="header1.xml" Type="http://schemas.openxmlformats.org/officeDocument/2006/relationships/header" /><Relationship Id="rId15" Target="header3.xml" Type="http://schemas.openxmlformats.org/officeDocument/2006/relationships/header" /><Relationship Id="rId14" Target="footer2.xml" Type="http://schemas.openxmlformats.org/officeDocument/2006/relationships/footer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1945</Words>
  <Characters>10758</Characters>
  <Application>Microsoft Office Word</Application>
  <DocSecurity>0</DocSecurity>
  <Lines>224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2026-09-26T14:34:10Z</dcterms:created>
  <dcterms:modified xsi:type="dcterms:W3CDTF">2026-09-26T14:34:10Z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