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pPr>
      <w:r>
        <w:rPr>
          <w:rFonts w:ascii="Arial" w:cs="Arial" w:eastAsia="Arial" w:hAnsi="Arial"/>
          <w:b/>
          <w:bCs/>
          <w:sz w:val="22"/>
          <w:szCs w:val="22"/>
        </w:rPr>
        <w:t xml:space="preserve">Aluno(a): </w:t>
      </w:r>
      <w:r>
        <w:rPr>
          <w:rFonts w:ascii="Arial" w:cs="Arial" w:eastAsia="Arial" w:hAnsi="Arial"/>
          <w:sz w:val="22"/>
          <w:szCs w:val="22"/>
        </w:rPr>
        <w:t xml:space="preserve">Gabriel Arcenio Rahal Marostica</w:t>
      </w:r>
    </w:p>
    <w:p>
      <w:pPr>
        <w:spacing w:before="0" w:after="120"/>
      </w:pPr>
      <w:r>
        <w:rPr>
          <w:rFonts w:ascii="Arial" w:cs="Arial" w:eastAsia="Arial" w:hAnsi="Arial"/>
          <w:b/>
          <w:bCs/>
          <w:sz w:val="22"/>
          <w:szCs w:val="22"/>
        </w:rPr>
        <w:t xml:space="preserve">Orientador(a): </w:t>
      </w:r>
      <w:r>
        <w:rPr>
          <w:rFonts w:ascii="Arial" w:cs="Arial" w:eastAsia="Arial" w:hAnsi="Arial"/>
          <w:sz w:val="22"/>
          <w:szCs w:val="22"/>
        </w:rPr>
        <w:t xml:space="preserve">José Bernardo Neto</w:t>
      </w:r>
    </w:p>
    <w:p>
      <w:pPr>
        <w:spacing w:before="0" w:after="120"/>
      </w:pPr>
      <w:r>
        <w:rPr>
          <w:rFonts w:ascii="Arial" w:cs="Arial" w:eastAsia="Arial" w:hAnsi="Arial"/>
          <w:b/>
          <w:bCs/>
          <w:sz w:val="22"/>
          <w:szCs w:val="22"/>
        </w:rPr>
        <w:t xml:space="preserve">Curso: </w:t>
      </w:r>
      <w:r>
        <w:rPr>
          <w:rFonts w:ascii="Arial" w:cs="Arial" w:eastAsia="Arial" w:hAnsi="Arial"/>
          <w:sz w:val="22"/>
          <w:szCs w:val="22"/>
        </w:rPr>
        <w:t xml:space="preserve">MBA em Engenharia de Software</w:t>
      </w:r>
    </w:p>
    <w:p>
      <w:pPr>
        <w:spacing w:before="0" w:after="80"/>
      </w:pPr>
      <w:r>
        <w:rPr>
          <w:rFonts w:ascii="Arial" w:cs="Arial" w:eastAsia="Arial" w:hAnsi="Arial"/>
          <w:sz w:val="22"/>
          <w:szCs w:val="22"/>
        </w:rPr>
        <w:t xml:space="preserve"/>
      </w:r>
    </w:p>
    <w:p>
      <w:pPr>
        <w:spacing w:before="0" w:after="160"/>
        <w:jc w:val="center"/>
      </w:pPr>
      <w:r>
        <w:rPr>
          <w:rFonts w:ascii="Arial" w:cs="Arial" w:eastAsia="Arial" w:hAnsi="Arial"/>
          <w:b/>
          <w:bCs/>
          <w:sz w:val="22"/>
          <w:szCs w:val="22"/>
        </w:rPr>
        <w:t xml:space="preserve">Conversational Analytics em saúde: arquitetura e governança de LLMs sobre dados clínicos</w:t>
      </w:r>
    </w:p>
    <w:p>
      <w:pPr>
        <w:spacing w:before="0" w:after="80"/>
      </w:pPr>
      <w:r>
        <w:rPr>
          <w:rFonts w:ascii="Arial" w:cs="Arial" w:eastAsia="Arial" w:hAnsi="Arial"/>
          <w:sz w:val="22"/>
          <w:szCs w:val="22"/>
        </w:rPr>
        <w:t xml:space="preserve"/>
      </w:r>
    </w:p>
    <w:p>
      <w:pPr>
        <w:spacing w:before="320" w:after="160"/>
      </w:pPr>
      <w:r>
        <w:rPr>
          <w:rFonts w:ascii="Arial" w:cs="Arial" w:eastAsia="Arial" w:hAnsi="Arial"/>
          <w:b/>
          <w:bCs/>
          <w:sz w:val="22"/>
          <w:szCs w:val="22"/>
        </w:rPr>
        <w:t xml:space="preserve">Introdução</w:t>
      </w:r>
    </w:p>
    <w:p>
      <w:pPr>
        <w:spacing w:before="0" w:after="160" w:line="360" w:lineRule="auto"/>
        <w:ind w:firstLine="709"/>
        <w:jc w:val="both"/>
      </w:pPr>
      <w:r>
        <w:rPr>
          <w:rFonts w:ascii="Arial" w:cs="Arial" w:eastAsia="Arial" w:hAnsi="Arial"/>
          <w:b w:val="false"/>
          <w:bCs w:val="false"/>
          <w:color w:val="000000"/>
          <w:sz w:val="24"/>
          <w:szCs w:val="24"/>
        </w:rPr>
        <w:t xml:space="preserve">Hospitais de grande porte produzem volumes expressivos de dados todos os dias: prontuários, registros de leitos, dados de farmácia e informações de faturamento. O problema não é a falta de informação, é a dificuldade de acessá-la. Em geral, esses dados vivem em sistemas distintos que raramente se comunicam entre si, e transformar essa matéria-prima em um insight útil para um gestor ainda depende de alguém da área técnica construindo uma consulta, montando um relatório e entregando um arquivo. Esse ciclo leva tempo e, em um ambiente hospitalar, esse tempo tem custo direto sobre a eficiência operacional e, em alguns casos, sobre a qualidade da assistência. O World Economic Forum caracteriza esse cenário como um panorama fragmentado de informações vitais de saúde, que dificulta a compreensão abrangente da jornada do paciente e retarda a chegada da informação certa ao tomador de decisão no momento certo (HealthTech Magazine, 2025).</w:t>
      </w:r>
    </w:p>
    <w:p>
      <w:pPr>
        <w:spacing w:before="0" w:after="160" w:line="360" w:lineRule="auto"/>
        <w:ind w:firstLine="709"/>
        <w:jc w:val="both"/>
      </w:pPr>
      <w:r>
        <w:rPr>
          <w:rFonts w:ascii="Arial" w:cs="Arial" w:eastAsia="Arial" w:hAnsi="Arial"/>
          <w:b w:val="false"/>
          <w:bCs w:val="false"/>
          <w:color w:val="000000"/>
          <w:sz w:val="24"/>
          <w:szCs w:val="24"/>
        </w:rPr>
        <w:t xml:space="preserve">Esse desafio é ainda mais acentuado no contexto brasileiro. O Plano Brasileiro de Inteligência Artificial 2024–2028 reconhece que grande parte dos dados do sistema de saúde do país ainda se encontra fragmentada em múltiplos sistemas — hospitais, unidades básicas de saúde e laboratórios — com padrões de qualidade variados, e que as deficiências de integração e qualidade de dados persistem como barreiras concretas à adoção de IA em escala (Instituto Brasileiro de Inovação em Saúde [IBIS], 2025). Nesse cenário, as iniciativas de inteligência artificial em saúde no Brasil enfrentam obstáculos específicos, incluindo infraestrutura digital limitada, lacunas de qualificação profissional e complexidades regulatórias que tornam a implantação mais desafiadora do que em economias com sistemas de saúde mais consolidados (Bellanda et al., 2025).</w:t>
      </w:r>
    </w:p>
    <w:p>
      <w:pPr>
        <w:spacing w:before="0" w:after="160" w:line="360" w:lineRule="auto"/>
        <w:ind w:firstLine="709"/>
        <w:jc w:val="both"/>
      </w:pPr>
      <w:r>
        <w:rPr>
          <w:rFonts w:ascii="Arial" w:cs="Arial" w:eastAsia="Arial" w:hAnsi="Arial"/>
          <w:b w:val="false"/>
          <w:bCs w:val="false"/>
          <w:color w:val="000000"/>
          <w:sz w:val="24"/>
          <w:szCs w:val="24"/>
        </w:rPr>
        <w:t xml:space="preserve">A emergência dos Modelos de Linguagem de Grande Escala (LLMs – Large Language Models) abriu uma possibilidade concreta de mudar essa dinâmica. Por meio de interfaces conversacionais em linguagem natural, abordagem conhecida como Conversational Analytics, gestores passam a poder consultar dados diretamente, sem depender de intermediação técnica. Ferramentas como o Databricks Genie já demonstram essa viabilidade em escala: a Premier Inc., organização de saúde americana, implementou uma interface conversacional sobre dados de mais de 1.300 hospitais e passou a gerar consultas SQL até dez vezes mais rápido do que por escrita manual (Databricks, 2025).</w:t>
      </w:r>
    </w:p>
    <w:p>
      <w:pPr>
        <w:spacing w:before="0" w:after="160" w:line="360" w:lineRule="auto"/>
        <w:ind w:firstLine="709"/>
        <w:jc w:val="both"/>
      </w:pPr>
      <w:r>
        <w:rPr>
          <w:rFonts w:ascii="Arial" w:cs="Arial" w:eastAsia="Arial" w:hAnsi="Arial"/>
          <w:b w:val="false"/>
          <w:bCs w:val="false"/>
          <w:color w:val="000000"/>
          <w:sz w:val="24"/>
          <w:szCs w:val="24"/>
        </w:rPr>
        <w:t xml:space="preserve">No entanto, conectar um LLM a dados clínicos não é trivial do ponto de vista regulatório e de segurança. No Brasil, dados de saúde são classificados como dados sensíveis pela Lei Geral de Proteção de Dados Pessoais (LGPD – Lei nº 13.709/2018), o que impõe um nível mais elevado de proteção e requisitos específicos de tratamento. A Agência Nacional de Vigilância Sanitária (ANVISA) regula o uso de software baseado em inteligência artificial como dispositivo médico (SaMD – Software as a Medical Device), por meio das Resoluções RDC nº 657/2022, 751/2022 e 830/2023. Mais recentemente, a Autoridade Nacional de Proteção de Dados (ANPD) publicou, em novembro de 2024, seu Radar Tecnológico sobre Inteligência Artificial Generativa, deixando claro que os princípios da LGPD se aplicam integralmente a sistemas que utilizam LLMs, incluindo os riscos de alucinação e de uso secundário não autorizado de dados.</w:t>
      </w:r>
    </w:p>
    <w:p>
      <w:pPr>
        <w:spacing w:before="0" w:after="160" w:line="360" w:lineRule="auto"/>
        <w:ind w:firstLine="709"/>
        <w:jc w:val="both"/>
      </w:pPr>
      <w:r>
        <w:rPr>
          <w:rFonts w:ascii="Arial" w:cs="Arial" w:eastAsia="Arial" w:hAnsi="Arial"/>
          <w:b w:val="false"/>
          <w:bCs w:val="false"/>
          <w:color w:val="000000"/>
          <w:sz w:val="24"/>
          <w:szCs w:val="24"/>
        </w:rPr>
        <w:t xml:space="preserve">Do ponto de vista técnico, a aplicação de LLMs para consultas em linguagem natural sobre dados clínicos já apresenta resultados promissores. O sistema M3, avaliado sobre o dataset público MIMIC-IV com o benchmark EHRSQL 2024, atingiu 94% de acurácia utilizando o modelo Claude Sonnet e 93% com um modelo open-source executado localmente, demonstrando que o deploy privado, essencial para ambientes com dados sensíveis, é uma alternativa tecnicamente viável (arxiv.org, 2025). O sistema LETHE-Chat, desenvolvido para bancos de dados de ensaios clínicos, mostrou que execução somente de leitura, rastreabilidade das consultas e implantação local são características compatíveis com os requisitos de governança de IA aplicados ao setor de saúde (ehealth-graz.at, 2025). Segundo Gil (2017), pesquisas exploratórias são especialmente pertinentes quando o tema é recente e carece de maior delimitação, condição que descreve com precisão o estado atual do uso governado de LLMs sobre dados clínicos no contexto brasileiro.</w:t>
      </w:r>
    </w:p>
    <w:p>
      <w:pPr>
        <w:spacing w:before="0" w:after="160" w:line="360" w:lineRule="auto"/>
        <w:ind w:firstLine="709"/>
        <w:jc w:val="both"/>
      </w:pPr>
      <w:r>
        <w:rPr>
          <w:rFonts w:ascii="Arial" w:cs="Arial" w:eastAsia="Arial" w:hAnsi="Arial"/>
          <w:b w:val="false"/>
          <w:bCs w:val="false"/>
          <w:color w:val="000000"/>
          <w:sz w:val="24"/>
          <w:szCs w:val="24"/>
        </w:rPr>
        <w:t xml:space="preserve">O problema central, contudo, persiste: a maior parte das iniciativas de Conversational Analytics em saúde foca na camada do modelo de linguagem e ignora a construção de uma estrutura de governança integrada. Sem controle de acesso por perfil, sem rastreabilidade das perguntas e respostas geradas, sem checagem de alucinações e sem conformidade regulatória documentada, o risco de adotar essa tecnologia supera o benefício. Essa lacuna é especialmente crítica para hospitais brasileiros, que operam sob um arcabouço regulatório em evolução e precisam demonstrar transparência no uso de sistemas automatizados de decisão.</w:t>
      </w:r>
    </w:p>
    <w:p>
      <w:pPr>
        <w:spacing w:before="0" w:after="160" w:line="360" w:lineRule="auto"/>
        <w:ind w:firstLine="709"/>
        <w:jc w:val="both"/>
      </w:pPr>
      <w:r>
        <w:rPr>
          <w:rFonts w:ascii="Arial" w:cs="Arial" w:eastAsia="Arial" w:hAnsi="Arial"/>
          <w:b w:val="false"/>
          <w:bCs w:val="false"/>
          <w:color w:val="000000"/>
          <w:sz w:val="24"/>
          <w:szCs w:val="24"/>
        </w:rPr>
        <w:t xml:space="preserve">Este projeto de pesquisa propõe o desenvolvimento de uma arquitetura de referência para Conversational Analytics em ambiente hospitalar. A arquitetura integrará um pipeline de dados em camadas, organizado no modelo Lakehouse Bronze-Silver-Gold, com um motor de consulta em linguagem natural baseado em LLM, sustentado por um modelo de governança que endereçará os requisitos da LGPD, das normas da ANVISA e das diretrizes da ANPD. A pesquisa será conduzida integralmente com dados simulados, o que eliminará riscos de exposição de informações sensíveis e permitirá que a arquitetura proposta seja replicada por outras instituições.</w:t>
      </w:r>
    </w:p>
    <w:p>
      <w:pPr>
        <w:spacing w:before="0" w:after="80"/>
      </w:pPr>
      <w:r>
        <w:rPr>
          <w:rFonts w:ascii="Arial" w:cs="Arial" w:eastAsia="Arial" w:hAnsi="Arial"/>
          <w:sz w:val="22"/>
          <w:szCs w:val="22"/>
        </w:rPr>
        <w:t xml:space="preserve"/>
      </w:r>
    </w:p>
    <w:p>
      <w:pPr>
        <w:spacing w:before="320" w:after="160"/>
      </w:pPr>
      <w:r>
        <w:rPr>
          <w:rFonts w:ascii="Arial" w:cs="Arial" w:eastAsia="Arial" w:hAnsi="Arial"/>
          <w:b/>
          <w:bCs/>
          <w:sz w:val="22"/>
          <w:szCs w:val="22"/>
        </w:rPr>
        <w:t xml:space="preserve">Objetivo</w:t>
      </w:r>
    </w:p>
    <w:p>
      <w:pPr>
        <w:spacing w:before="0" w:after="160" w:line="360" w:lineRule="auto"/>
        <w:ind w:firstLine="709"/>
        <w:jc w:val="both"/>
      </w:pPr>
      <w:r>
        <w:rPr>
          <w:rFonts w:ascii="Arial" w:cs="Arial" w:eastAsia="Arial" w:hAnsi="Arial"/>
          <w:b w:val="false"/>
          <w:bCs w:val="false"/>
          <w:color w:val="000000"/>
          <w:sz w:val="24"/>
          <w:szCs w:val="24"/>
        </w:rPr>
        <w:t xml:space="preserve">Propor e validar uma arquitetura de referência para Conversational Analytics em hospitais de grande porte brasileiros, com foco na governança segura de LLMs sobre dados clínicos e em conformidade com o marco regulatório nacional.</w:t>
      </w:r>
    </w:p>
    <w:p>
      <w:pPr>
        <w:spacing w:before="0" w:after="160" w:line="360" w:lineRule="auto"/>
        <w:ind w:firstLine="709"/>
        <w:jc w:val="both"/>
      </w:pPr>
      <w:r>
        <w:rPr>
          <w:rFonts w:ascii="Arial" w:cs="Arial" w:eastAsia="Arial" w:hAnsi="Arial"/>
          <w:b w:val="false"/>
          <w:bCs w:val="false"/>
          <w:color w:val="000000"/>
          <w:sz w:val="24"/>
          <w:szCs w:val="24"/>
        </w:rPr>
        <w:t xml:space="preserve">Tem-se como hipótese que uma arquitetura de Conversational Analytics com modelo de governança integrado será capaz de responder a consultas operacionais hospitalares em linguagem natural com acurácia superior a 80% e em conformidade com os requisitos da LGPD e das normas da ANVISA para uso de IA em ambientes de saúde.</w:t>
      </w:r>
    </w:p>
    <w:p>
      <w:pPr>
        <w:spacing w:before="0" w:after="80"/>
      </w:pPr>
      <w:r>
        <w:rPr>
          <w:rFonts w:ascii="Arial" w:cs="Arial" w:eastAsia="Arial" w:hAnsi="Arial"/>
          <w:sz w:val="22"/>
          <w:szCs w:val="22"/>
        </w:rPr>
        <w:t xml:space="preserve"/>
      </w:r>
    </w:p>
    <w:p>
      <w:pPr>
        <w:spacing w:before="320" w:after="160"/>
      </w:pPr>
      <w:r>
        <w:rPr>
          <w:rFonts w:ascii="Arial" w:cs="Arial" w:eastAsia="Arial" w:hAnsi="Arial"/>
          <w:b/>
          <w:bCs/>
          <w:sz w:val="22"/>
          <w:szCs w:val="22"/>
        </w:rPr>
        <w:t xml:space="preserve">Objetivos Específicos</w:t>
      </w:r>
    </w:p>
    <w:p>
      <w:pPr>
        <w:spacing w:before="0" w:after="120" w:line="276" w:lineRule="auto"/>
        <w:ind w:left="709" w:hanging="355"/>
      </w:pPr>
      <w:r>
        <w:rPr>
          <w:rFonts w:ascii="Arial" w:cs="Arial" w:eastAsia="Arial" w:hAnsi="Arial"/>
          <w:sz w:val="22"/>
          <w:szCs w:val="22"/>
        </w:rPr>
        <w:t xml:space="preserve">a) Revisar a literatura sobre Conversational Analytics, Text-to-SQL e governança de LLMs em contextos clínicos;</w:t>
      </w:r>
    </w:p>
    <w:p>
      <w:pPr>
        <w:spacing w:before="0" w:after="120" w:line="276" w:lineRule="auto"/>
        <w:ind w:left="709" w:hanging="355"/>
      </w:pPr>
      <w:r>
        <w:rPr>
          <w:rFonts w:ascii="Arial" w:cs="Arial" w:eastAsia="Arial" w:hAnsi="Arial"/>
          <w:sz w:val="22"/>
          <w:szCs w:val="22"/>
        </w:rPr>
        <w:t xml:space="preserve">b) Mapear os requisitos regulatórios aplicáveis ao uso de IA generativa sobre dados de saúde no Brasil (LGPD, ANVISA, ANPD);</w:t>
      </w:r>
    </w:p>
    <w:p>
      <w:pPr>
        <w:spacing w:before="0" w:after="120" w:line="276" w:lineRule="auto"/>
        <w:ind w:left="709" w:hanging="355"/>
      </w:pPr>
      <w:r>
        <w:rPr>
          <w:rFonts w:ascii="Arial" w:cs="Arial" w:eastAsia="Arial" w:hAnsi="Arial"/>
          <w:sz w:val="22"/>
          <w:szCs w:val="22"/>
        </w:rPr>
        <w:t xml:space="preserve">c) Projetar a arquitetura técnica do sistema nas camadas de ingestão de dados, pipeline Lakehouse e motor de IA com guardrails;</w:t>
      </w:r>
    </w:p>
    <w:p>
      <w:pPr>
        <w:spacing w:before="0" w:after="120" w:line="276" w:lineRule="auto"/>
        <w:ind w:left="709" w:hanging="355"/>
      </w:pPr>
      <w:r>
        <w:rPr>
          <w:rFonts w:ascii="Arial" w:cs="Arial" w:eastAsia="Arial" w:hAnsi="Arial"/>
          <w:sz w:val="22"/>
          <w:szCs w:val="22"/>
        </w:rPr>
        <w:t xml:space="preserve">d) Desenvolver o modelo de governança integrado, com controle de acesso, rastreabilidade, anonimização e validação de respostas;</w:t>
      </w:r>
    </w:p>
    <w:p>
      <w:pPr>
        <w:spacing w:before="0" w:after="120" w:line="276" w:lineRule="auto"/>
        <w:ind w:left="709" w:hanging="355"/>
      </w:pPr>
      <w:r>
        <w:rPr>
          <w:rFonts w:ascii="Arial" w:cs="Arial" w:eastAsia="Arial" w:hAnsi="Arial"/>
          <w:sz w:val="22"/>
          <w:szCs w:val="22"/>
        </w:rPr>
        <w:t xml:space="preserve">e) Implementar e avaliar um protótipo funcional sobre dados clínicos simulados, medindo acurácia, rastreabilidade e aderência regulatória.</w:t>
      </w:r>
    </w:p>
    <w:p>
      <w:pPr>
        <w:spacing w:before="0" w:after="80"/>
      </w:pPr>
      <w:r>
        <w:rPr>
          <w:rFonts w:ascii="Arial" w:cs="Arial" w:eastAsia="Arial" w:hAnsi="Arial"/>
          <w:sz w:val="22"/>
          <w:szCs w:val="22"/>
        </w:rPr>
        <w:t xml:space="preserve"/>
      </w:r>
    </w:p>
    <w:p>
      <w:pPr>
        <w:spacing w:before="320" w:after="160"/>
      </w:pPr>
      <w:r>
        <w:rPr>
          <w:rFonts w:ascii="Arial" w:cs="Arial" w:eastAsia="Arial" w:hAnsi="Arial"/>
          <w:b/>
          <w:bCs/>
          <w:sz w:val="22"/>
          <w:szCs w:val="22"/>
        </w:rPr>
        <w:t xml:space="preserve">Metodologia</w:t>
      </w:r>
    </w:p>
    <w:p>
      <w:pPr>
        <w:spacing w:before="0" w:after="160" w:line="360" w:lineRule="auto"/>
        <w:ind w:firstLine="709"/>
        <w:jc w:val="both"/>
      </w:pPr>
      <w:r>
        <w:rPr>
          <w:rFonts w:ascii="Arial" w:cs="Arial" w:eastAsia="Arial" w:hAnsi="Arial"/>
          <w:b w:val="false"/>
          <w:bCs w:val="false"/>
          <w:color w:val="000000"/>
          <w:sz w:val="24"/>
          <w:szCs w:val="24"/>
        </w:rPr>
        <w:t xml:space="preserve">A pesquisa será de natureza aplicada, com abordagem qualitativo-quantitativa e caráter exploratório-descritivo. O delineamento adotado será o estudo de caso instrumental (Yin, 2015), combinado com o desenvolvimento de um protótipo funcional, em linha com as diretrizes do MBA em Engenharia de Software da USP/Esalq (Bigaton et al., 2024). Conforme apontado por Miguel et al. (2012), o estudo de caso é especialmente adequado para investigações em engenharia que buscam compreender fenômenos em seu contexto real, permitindo a triangulação de dados e a geração de conhecimento aplicável a situações similares.</w:t>
      </w:r>
    </w:p>
    <w:p>
      <w:pPr>
        <w:spacing w:before="0" w:after="160" w:line="360" w:lineRule="auto"/>
        <w:ind w:firstLine="709"/>
        <w:jc w:val="both"/>
      </w:pPr>
      <w:r>
        <w:rPr>
          <w:rFonts w:ascii="Arial" w:cs="Arial" w:eastAsia="Arial" w:hAnsi="Arial"/>
          <w:b w:val="false"/>
          <w:bCs w:val="false"/>
          <w:color w:val="000000"/>
          <w:sz w:val="24"/>
          <w:szCs w:val="24"/>
        </w:rPr>
        <w:t xml:space="preserve">A coleta de dados ocorrerá em duas frentes. A primeira é uma revisão bibliográfica sistemática nas bases Scopus, Web of Science e arXiv, com os termos 'Conversational Analytics', 'Text-to-SQL', 'LLM governance', 'clinical data', 'LGPD' e 'healthcare AI governance', seguindo as recomendações de Prodanov e Freitas (2013) para seleção e análise de fontes. A segunda frente é a geração de um dataset sintético que simula o ambiente de dados de um hospital de grande porte, contemplando prontuário eletrônico, ocupação de leitos, farmácia e faturamento, produzido com a biblioteca Python Faker e estruturado com base no dataset público MIMIC-IV (Johnson et al., 2023), disponível na plataforma PhysioNet.</w:t>
      </w:r>
    </w:p>
    <w:p>
      <w:pPr>
        <w:spacing w:before="0" w:after="160" w:line="360" w:lineRule="auto"/>
        <w:ind w:firstLine="709"/>
        <w:jc w:val="both"/>
      </w:pPr>
      <w:r>
        <w:rPr>
          <w:rFonts w:ascii="Arial" w:cs="Arial" w:eastAsia="Arial" w:hAnsi="Arial"/>
          <w:b w:val="false"/>
          <w:bCs w:val="false"/>
          <w:color w:val="000000"/>
          <w:sz w:val="24"/>
          <w:szCs w:val="24"/>
        </w:rPr>
        <w:t xml:space="preserve">O protótipo será construído em quatro camadas integradas. A primeira será o pipeline de dados no modelo Lakehouse: camada Bronze para ingestão dos dados simulados brutos, Silver para limpeza e anonimização, e Gold para as métricas e agregações prontas para consulta. A segunda camada implementará a governança de entrada, composta por autenticação por perfil de usuário, log de todas as perguntas realizadas e verificação de conformidade com a LGPD antes de qualquer consulta ser executada. A terceira será o motor de IA, responsável por traduzir perguntas em linguagem natural para SQL seguro por meio de um LLM, com guardrails que bloquearão consultas fora do escopo autorizado. A quarta camada validará cada resposta gerada, checará possíveis alucinações, filtrará eventuais dados sensíveis que não deveriam aparecer na saída e registrará a resposta entregue para fins de auditoria.</w:t>
      </w:r>
    </w:p>
    <w:p>
      <w:pPr>
        <w:spacing w:before="0" w:after="160" w:line="360" w:lineRule="auto"/>
        <w:ind w:firstLine="709"/>
        <w:jc w:val="both"/>
      </w:pPr>
      <w:r>
        <w:rPr>
          <w:rFonts w:ascii="Arial" w:cs="Arial" w:eastAsia="Arial" w:hAnsi="Arial"/>
          <w:b w:val="false"/>
          <w:bCs w:val="false"/>
          <w:color w:val="000000"/>
          <w:sz w:val="24"/>
          <w:szCs w:val="24"/>
        </w:rPr>
        <w:t xml:space="preserve">A avaliação do protótipo usará o benchmark EHRSQL 2024 como referência de acurácia para as respostas geradas, além de critérios de rastreabilidade das interações e aderência aos requisitos da LGPD e das normas da ANVISA. Por trabalhar exclusivamente com dados simulados, sem coleta de informações pessoais ou envolvimento de participantes humanos, a pesquisa não deverá requerer submissão ao Comitê de Ética em Pesquisa (CEP), conforme avaliação a ser realizada por meio do Formulário de Direcionamento Ético (FDE) disponível no sistema de TCCs da USP/Esalq.</w:t>
      </w:r>
    </w:p>
    <w:p>
      <w:pPr>
        <w:spacing w:before="0" w:after="80"/>
      </w:pPr>
      <w:r>
        <w:rPr>
          <w:rFonts w:ascii="Arial" w:cs="Arial" w:eastAsia="Arial" w:hAnsi="Arial"/>
          <w:sz w:val="22"/>
          <w:szCs w:val="22"/>
        </w:rPr>
        <w:t xml:space="preserve"/>
      </w:r>
    </w:p>
    <w:p>
      <w:pPr>
        <w:spacing w:before="320" w:after="160"/>
      </w:pPr>
      <w:r>
        <w:rPr>
          <w:rFonts w:ascii="Arial" w:cs="Arial" w:eastAsia="Arial" w:hAnsi="Arial"/>
          <w:b/>
          <w:bCs/>
          <w:sz w:val="22"/>
          <w:szCs w:val="22"/>
        </w:rPr>
        <w:t xml:space="preserve">Resultados Esperados</w:t>
      </w:r>
    </w:p>
    <w:p>
      <w:pPr>
        <w:spacing w:before="0" w:after="160" w:line="360" w:lineRule="auto"/>
        <w:ind w:firstLine="709"/>
        <w:jc w:val="both"/>
      </w:pPr>
      <w:r>
        <w:rPr>
          <w:rFonts w:ascii="Arial" w:cs="Arial" w:eastAsia="Arial" w:hAnsi="Arial"/>
          <w:b w:val="false"/>
          <w:bCs w:val="false"/>
          <w:color w:val="000000"/>
          <w:sz w:val="24"/>
          <w:szCs w:val="24"/>
        </w:rPr>
        <w:t xml:space="preserve">O principal resultado esperado será uma arquitetura de referência documentada para Conversational Analytics em hospitais de grande porte brasileiros, referencial que hoje não existe de forma consolidada na literatura nacional. Essa arquitetura reunirá as decisões técnicas de cada camada do sistema e o modelo de governança associado, de modo que outra instituição possa replicá-la ou adaptá-la ao seu contexto.</w:t>
      </w:r>
    </w:p>
    <w:p>
      <w:pPr>
        <w:spacing w:before="0" w:after="160" w:line="360" w:lineRule="auto"/>
        <w:ind w:firstLine="709"/>
        <w:jc w:val="both"/>
      </w:pPr>
      <w:r>
        <w:rPr>
          <w:rFonts w:ascii="Arial" w:cs="Arial" w:eastAsia="Arial" w:hAnsi="Arial"/>
          <w:b w:val="false"/>
          <w:bCs w:val="false"/>
          <w:color w:val="000000"/>
          <w:sz w:val="24"/>
          <w:szCs w:val="24"/>
        </w:rPr>
        <w:t xml:space="preserve">Do protótipo, espera-se demonstrar viabilidade técnica com acurácia superior a 80% nas respostas geradas sobre o dataset simulado, usando o benchmark EHRSQL 2024 como referência. Do modelo de governança, espera-se entregar um framework que endereça de forma explícita os requisitos da LGPD, das normas da ANVISA para SaMD e das diretrizes da ANPD para IA generativa, com rastreabilidade completa das interações e controle de acesso por perfil.</w:t>
      </w:r>
    </w:p>
    <w:p>
      <w:pPr>
        <w:spacing w:before="0" w:after="160" w:line="360" w:lineRule="auto"/>
        <w:ind w:firstLine="709"/>
        <w:jc w:val="both"/>
      </w:pPr>
      <w:r>
        <w:rPr>
          <w:rFonts w:ascii="Arial" w:cs="Arial" w:eastAsia="Arial" w:hAnsi="Arial"/>
          <w:b w:val="false"/>
          <w:bCs w:val="false"/>
          <w:color w:val="000000"/>
          <w:sz w:val="24"/>
          <w:szCs w:val="24"/>
        </w:rPr>
        <w:t xml:space="preserve">A contribuição acadêmica da pesquisa estará na integração entre arquitetura de dados, inteligência artificial generativa e governança regulatória aplicadas ao setor de saúde brasileiro. Trata-se de um campo que a literatura nacional ainda explora de forma fragmentada, e este projeto de pesquisa pretende oferecer um ponto de partida concreto para que hospitais possam avançar nessa direção com mais segurança e clareza sobre os riscos envolvidos.</w:t>
      </w:r>
    </w:p>
    <w:p>
      <w:pPr>
        <w:spacing w:before="0" w:after="80"/>
      </w:pPr>
      <w:r>
        <w:rPr>
          <w:rFonts w:ascii="Arial" w:cs="Arial" w:eastAsia="Arial" w:hAnsi="Arial"/>
          <w:sz w:val="22"/>
          <w:szCs w:val="22"/>
        </w:rPr>
        <w:t xml:space="preserve"/>
      </w:r>
    </w:p>
    <w:p>
      <w:pPr>
        <w:spacing w:before="320" w:after="160"/>
      </w:pPr>
      <w:r>
        <w:rPr>
          <w:rFonts w:ascii="Arial" w:cs="Arial" w:eastAsia="Arial" w:hAnsi="Arial"/>
          <w:b/>
          <w:bCs/>
          <w:sz w:val="22"/>
          <w:szCs w:val="22"/>
        </w:rPr>
        <w:t xml:space="preserve">Cronograma de Atividades</w:t>
      </w:r>
    </w:p>
    <w:p>
      <w:pPr>
        <w:spacing w:before="0" w:after="8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800"/>
        <w:gridCol w:w="800"/>
        <w:gridCol w:w="800"/>
        <w:gridCol w:w="800"/>
        <w:gridCol w:w="800"/>
        <w:gridCol w:w="800"/>
      </w:tblGrid>
      <w:tr>
        <w:tc>
          <w:tcPr>
            <w:tcW w:type="dxa" w:w="32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left"/>
            </w:pPr>
            <w:r>
              <w:rPr>
                <w:rFonts w:ascii="Arial" w:cs="Arial" w:eastAsia="Arial" w:hAnsi="Arial"/>
                <w:b/>
                <w:bCs/>
                <w:sz w:val="18"/>
                <w:szCs w:val="18"/>
              </w:rPr>
              <w:t xml:space="preserve">Atividades planejadas</w:t>
            </w:r>
          </w:p>
        </w:tc>
        <w:tc>
          <w:tcPr>
            <w:tcW w:type="dxa" w:w="8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Arial" w:cs="Arial" w:eastAsia="Arial" w:hAnsi="Arial"/>
                <w:b/>
                <w:bCs/>
                <w:sz w:val="18"/>
                <w:szCs w:val="18"/>
              </w:rPr>
              <w:t xml:space="preserve">1</w:t>
            </w:r>
          </w:p>
        </w:tc>
        <w:tc>
          <w:tcPr>
            <w:tcW w:type="dxa" w:w="8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Arial" w:cs="Arial" w:eastAsia="Arial" w:hAnsi="Arial"/>
                <w:b/>
                <w:bCs/>
                <w:sz w:val="18"/>
                <w:szCs w:val="18"/>
              </w:rPr>
              <w:t xml:space="preserve">2</w:t>
            </w:r>
          </w:p>
        </w:tc>
        <w:tc>
          <w:tcPr>
            <w:tcW w:type="dxa" w:w="8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Arial" w:cs="Arial" w:eastAsia="Arial" w:hAnsi="Arial"/>
                <w:b/>
                <w:bCs/>
                <w:sz w:val="18"/>
                <w:szCs w:val="18"/>
              </w:rPr>
              <w:t xml:space="preserve">3</w:t>
            </w:r>
          </w:p>
        </w:tc>
        <w:tc>
          <w:tcPr>
            <w:tcW w:type="dxa" w:w="8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Arial" w:cs="Arial" w:eastAsia="Arial" w:hAnsi="Arial"/>
                <w:b/>
                <w:bCs/>
                <w:sz w:val="18"/>
                <w:szCs w:val="18"/>
              </w:rPr>
              <w:t xml:space="preserve">4</w:t>
            </w:r>
          </w:p>
        </w:tc>
        <w:tc>
          <w:tcPr>
            <w:tcW w:type="dxa" w:w="8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Arial" w:cs="Arial" w:eastAsia="Arial" w:hAnsi="Arial"/>
                <w:b/>
                <w:bCs/>
                <w:sz w:val="18"/>
                <w:szCs w:val="18"/>
              </w:rPr>
              <w:t xml:space="preserve">5</w:t>
            </w:r>
          </w:p>
        </w:tc>
        <w:tc>
          <w:tcPr>
            <w:tcW w:type="dxa" w:w="8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Arial" w:cs="Arial" w:eastAsia="Arial" w:hAnsi="Arial"/>
                <w:b/>
                <w:bCs/>
                <w:sz w:val="18"/>
                <w:szCs w:val="18"/>
              </w:rPr>
              <w:t xml:space="preserve">6</w:t>
            </w:r>
          </w:p>
        </w:tc>
        <w:tc>
          <w:tcPr>
            <w:tcW w:type="dxa" w:w="8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Arial" w:cs="Arial" w:eastAsia="Arial" w:hAnsi="Arial"/>
                <w:b/>
                <w:bCs/>
                <w:sz w:val="18"/>
                <w:szCs w:val="18"/>
              </w:rPr>
              <w:t xml:space="preserve">7</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Revisão bibliográfica</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X</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X</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Definição da arquitetura</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X</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X</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Desenvolvimento do protótipo</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X</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X</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X</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Resultados Preliminares</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X</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Análise e discussão dos resultados</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X</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X</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Redação do TCC</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X</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X</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X</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Slides de apresentação</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X</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Defesa do TCC</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X</w:t>
            </w:r>
          </w:p>
        </w:tc>
      </w:tr>
    </w:tbl>
    <w:p>
      <w:pPr>
        <w:spacing w:before="0" w:after="80"/>
      </w:pPr>
      <w:r>
        <w:rPr>
          <w:rFonts w:ascii="Arial" w:cs="Arial" w:eastAsia="Arial" w:hAnsi="Arial"/>
          <w:sz w:val="22"/>
          <w:szCs w:val="22"/>
        </w:rPr>
        <w:t xml:space="preserve"/>
      </w:r>
    </w:p>
    <w:p>
      <w:pPr>
        <w:spacing w:before="0" w:after="80"/>
      </w:pPr>
      <w:r>
        <w:rPr>
          <w:rFonts w:ascii="Arial" w:cs="Arial" w:eastAsia="Arial" w:hAnsi="Arial"/>
          <w:sz w:val="22"/>
          <w:szCs w:val="22"/>
        </w:rPr>
        <w:t xml:space="preserve"/>
      </w:r>
    </w:p>
    <w:p>
      <w:pPr>
        <w:spacing w:before="0" w:after="80"/>
      </w:pPr>
      <w:r>
        <w:rPr>
          <w:rFonts w:ascii="Arial" w:cs="Arial" w:eastAsia="Arial" w:hAnsi="Arial"/>
          <w:sz w:val="22"/>
          <w:szCs w:val="22"/>
        </w:rPr>
        <w:t xml:space="preserve"/>
      </w:r>
    </w:p>
    <w:p>
      <w:pPr>
        <w:spacing w:before="320" w:after="160"/>
      </w:pPr>
      <w:r>
        <w:rPr>
          <w:rFonts w:ascii="Arial" w:cs="Arial" w:eastAsia="Arial" w:hAnsi="Arial"/>
          <w:b/>
          <w:bCs/>
          <w:sz w:val="22"/>
          <w:szCs w:val="22"/>
        </w:rPr>
        <w:t xml:space="preserve">Referências</w:t>
      </w:r>
    </w:p>
    <w:p>
      <w:pPr>
        <w:spacing w:before="0" w:after="160" w:line="360" w:lineRule="auto"/>
        <w:ind/>
        <w:jc w:val="both"/>
      </w:pPr>
      <w:r>
        <w:rPr>
          <w:rFonts w:ascii="Arial" w:cs="Arial" w:eastAsia="Arial" w:hAnsi="Arial"/>
          <w:b w:val="false"/>
          <w:bCs w:val="false"/>
          <w:color w:val="000000"/>
          <w:sz w:val="24"/>
          <w:szCs w:val="24"/>
        </w:rPr>
        <w:t xml:space="preserve">AL ATTRACH, R.; MOREIRA, P.; FANI, R.; UMETON, R.; CELI, L. A. 2025. Conversational LLMs simplify secure clinical data access, understanding, and analysis. arXiv:2507.01053. DOI: 10.48550/arXiv.2507.01053. Disponível em: &lt;https://arxiv.org/abs/2507.01053&gt;. Acesso em: 3 fev. 2026.</w:t>
      </w:r>
    </w:p>
    <w:p>
      <w:pPr>
        <w:spacing w:before="0" w:after="160" w:line="360" w:lineRule="auto"/>
        <w:ind/>
        <w:jc w:val="both"/>
      </w:pPr>
      <w:r>
        <w:rPr>
          <w:rFonts w:ascii="Arial" w:cs="Arial" w:eastAsia="Arial" w:hAnsi="Arial"/>
          <w:b w:val="false"/>
          <w:bCs w:val="false"/>
          <w:color w:val="000000"/>
          <w:sz w:val="24"/>
          <w:szCs w:val="24"/>
        </w:rPr>
        <w:t xml:space="preserve">ANPD – Autoridade Nacional de Proteção de Dados. Radar Tecnológico: Inteligência Artificial Generativa. Brasília: ANPD, nov. 2024. Disponível em: &lt;https://www.gov.br/anpd&gt;. Acesso em: 15 jan. 2026.</w:t>
      </w:r>
    </w:p>
    <w:p>
      <w:pPr>
        <w:spacing w:before="0" w:after="160" w:line="360" w:lineRule="auto"/>
        <w:ind/>
        <w:jc w:val="both"/>
      </w:pPr>
      <w:r>
        <w:rPr>
          <w:rFonts w:ascii="Arial" w:cs="Arial" w:eastAsia="Arial" w:hAnsi="Arial"/>
          <w:b w:val="false"/>
          <w:bCs w:val="false"/>
          <w:color w:val="000000"/>
          <w:sz w:val="24"/>
          <w:szCs w:val="24"/>
        </w:rPr>
        <w:t xml:space="preserve">ANVISA – Agência Nacional de Vigilância Sanitária. Resolução da Diretoria Colegiada – RDC nº 657, de 17 de março de 2022. Brasília: ANVISA, 2022.</w:t>
      </w:r>
    </w:p>
    <w:p>
      <w:pPr>
        <w:spacing w:before="0" w:after="160" w:line="360" w:lineRule="auto"/>
        <w:ind/>
        <w:jc w:val="both"/>
      </w:pPr>
      <w:r>
        <w:rPr>
          <w:rFonts w:ascii="Arial" w:cs="Arial" w:eastAsia="Arial" w:hAnsi="Arial"/>
          <w:b w:val="false"/>
          <w:bCs w:val="false"/>
          <w:color w:val="000000"/>
          <w:sz w:val="24"/>
          <w:szCs w:val="24"/>
        </w:rPr>
        <w:t xml:space="preserve">BELLANDA, V. C. F.; MEDEIROS, A. S.; FERRAZ, D. A. 2025. Transforming Brazilian healthcare with AI: progress and future perspectives. Discover Health Systems 4(47). DOI: 10.1007/s44250-025-00227-5. Disponível em: &lt;https://link.springer.com/article/10.1007/s44250-025-00227-5&gt;. Acesso em: 18 jan. 2026.</w:t>
      </w:r>
    </w:p>
    <w:p>
      <w:pPr>
        <w:spacing w:before="0" w:after="160" w:line="360" w:lineRule="auto"/>
        <w:ind/>
        <w:jc w:val="both"/>
      </w:pPr>
      <w:r>
        <w:rPr>
          <w:rFonts w:ascii="Arial" w:cs="Arial" w:eastAsia="Arial" w:hAnsi="Arial"/>
          <w:b w:val="false"/>
          <w:bCs w:val="false"/>
          <w:color w:val="000000"/>
          <w:sz w:val="24"/>
          <w:szCs w:val="24"/>
        </w:rPr>
        <w:t xml:space="preserve">BIGATON, A.; VELÁZQUEZ, D. R. T.; OLIVEIRA, E. D. de; BELÉM, M. J. X.; RAMOS, M. O. 2024. Metodologias de pesquisa para trabalhos de conclusão de curso. Editora PECEGE, Piracicaba, SP, Brasil.</w:t>
      </w:r>
    </w:p>
    <w:p>
      <w:pPr>
        <w:spacing w:before="0" w:after="160" w:line="360" w:lineRule="auto"/>
        <w:ind/>
        <w:jc w:val="both"/>
      </w:pPr>
      <w:r>
        <w:rPr>
          <w:rFonts w:ascii="Arial" w:cs="Arial" w:eastAsia="Arial" w:hAnsi="Arial"/>
          <w:b w:val="false"/>
          <w:bCs w:val="false"/>
          <w:color w:val="000000"/>
          <w:sz w:val="24"/>
          <w:szCs w:val="24"/>
        </w:rPr>
        <w:t xml:space="preserve">BRASIL. Lei nº 13.709, de 14 de agosto de 2018. Lei Geral de Proteção de Dados Pessoais (LGPD). Diário Oficial da União, Brasília, DF, 15 ago. 2018.</w:t>
      </w:r>
    </w:p>
    <w:p>
      <w:pPr>
        <w:spacing w:before="0" w:after="160" w:line="360" w:lineRule="auto"/>
        <w:ind/>
        <w:jc w:val="both"/>
      </w:pPr>
      <w:r>
        <w:rPr>
          <w:rFonts w:ascii="Arial" w:cs="Arial" w:eastAsia="Arial" w:hAnsi="Arial"/>
          <w:b w:val="false"/>
          <w:bCs w:val="false"/>
          <w:color w:val="000000"/>
          <w:sz w:val="24"/>
          <w:szCs w:val="24"/>
        </w:rPr>
        <w:t xml:space="preserve">DATABRICKS. AI and Genie: Analyzing Healthcare Improvement Opportunities. Data + AI Summit 2025. San Francisco: Databricks, 2025. Disponível em: &lt;https://www.databricks.com/dataaisummit/session/ai-and-genie-analyzing-healthcare-improvement-opportunities&gt;. Acesso em: 10 fev. 2026.</w:t>
      </w:r>
    </w:p>
    <w:p>
      <w:pPr>
        <w:spacing w:before="0" w:after="160" w:line="360" w:lineRule="auto"/>
        <w:ind/>
        <w:jc w:val="both"/>
      </w:pPr>
      <w:r>
        <w:rPr>
          <w:rFonts w:ascii="Arial" w:cs="Arial" w:eastAsia="Arial" w:hAnsi="Arial"/>
          <w:b w:val="false"/>
          <w:bCs w:val="false"/>
          <w:color w:val="000000"/>
          <w:sz w:val="24"/>
          <w:szCs w:val="24"/>
        </w:rPr>
        <w:t xml:space="preserve">GIL, A. C. 2017. Como Elaborar Projetos de Pesquisa. 6ed. Atlas, São Paulo, SP, Brasil.</w:t>
      </w:r>
    </w:p>
    <w:p>
      <w:pPr>
        <w:spacing w:before="0" w:after="160" w:line="360" w:lineRule="auto"/>
        <w:ind/>
        <w:jc w:val="both"/>
      </w:pPr>
      <w:r>
        <w:rPr>
          <w:rFonts w:ascii="Arial" w:cs="Arial" w:eastAsia="Arial" w:hAnsi="Arial"/>
          <w:b w:val="false"/>
          <w:bCs w:val="false"/>
          <w:color w:val="000000"/>
          <w:sz w:val="24"/>
          <w:szCs w:val="24"/>
        </w:rPr>
        <w:t xml:space="preserve">HEALTHTECH MAGAZINE. How do data silos impede patient care and provider efficiency? HealthTech Magazine, abr. 2025. Disponível em: &lt;https://healthtechmagazine.net/article/2025/04/how-do-data-silos-impede-patient-care-and-provider-efficiency&gt;. Acesso em: 5 jan. 2026.</w:t>
      </w:r>
    </w:p>
    <w:p>
      <w:pPr>
        <w:spacing w:before="0" w:after="160" w:line="360" w:lineRule="auto"/>
        <w:ind/>
        <w:jc w:val="both"/>
      </w:pPr>
      <w:r>
        <w:rPr>
          <w:rFonts w:ascii="Arial" w:cs="Arial" w:eastAsia="Arial" w:hAnsi="Arial"/>
          <w:b w:val="false"/>
          <w:bCs w:val="false"/>
          <w:color w:val="000000"/>
          <w:sz w:val="24"/>
          <w:szCs w:val="24"/>
        </w:rPr>
        <w:t xml:space="preserve">INSTITUTO BRASILEIRO DE INOVAÇÃO EM SAÚDE [IBIS]. AI in public health: advances, gaps and opportunities of the Brazilian Artificial Intelligence Plan. IBIS, jun. 2025. Disponível em: &lt;https://www.ibis.bio/en/post/ai-in-public-health-advances-gaps-and-opportunities-of-the-brazilian-artificial-intelligence-plan&gt;. Acesso em: 12 jan. 2026.</w:t>
      </w:r>
    </w:p>
    <w:p>
      <w:pPr>
        <w:spacing w:before="0" w:after="160" w:line="360" w:lineRule="auto"/>
        <w:ind/>
        <w:jc w:val="both"/>
      </w:pPr>
      <w:r>
        <w:rPr>
          <w:rFonts w:ascii="Arial" w:cs="Arial" w:eastAsia="Arial" w:hAnsi="Arial"/>
          <w:b w:val="false"/>
          <w:bCs w:val="false"/>
          <w:color w:val="000000"/>
          <w:sz w:val="24"/>
          <w:szCs w:val="24"/>
        </w:rPr>
        <w:t xml:space="preserve">JOHNSON, A. E. W. et al. MIMIC-IV, a freely accessible electronic health record dataset. Scientific Data, v. 10, n. 1, p. 1, 2023. DOI: 10.1038/s41597-022-01899-x.</w:t>
      </w:r>
    </w:p>
    <w:p>
      <w:pPr>
        <w:spacing w:before="0" w:after="160" w:line="360" w:lineRule="auto"/>
        <w:ind/>
        <w:jc w:val="both"/>
      </w:pPr>
      <w:r>
        <w:rPr>
          <w:rFonts w:ascii="Arial" w:cs="Arial" w:eastAsia="Arial" w:hAnsi="Arial"/>
          <w:b w:val="false"/>
          <w:bCs w:val="false"/>
          <w:color w:val="000000"/>
          <w:sz w:val="24"/>
          <w:szCs w:val="24"/>
        </w:rPr>
        <w:t xml:space="preserve">LEE, G. et al. EHRSQL: A practical text-to-SQL benchmark for electronic health records. Advances in Neural Information Processing Systems, v. 35, p. 15589–15601, 2022.</w:t>
      </w:r>
    </w:p>
    <w:p>
      <w:pPr>
        <w:spacing w:before="0" w:after="160" w:line="360" w:lineRule="auto"/>
        <w:ind/>
        <w:jc w:val="both"/>
      </w:pPr>
      <w:r>
        <w:rPr>
          <w:rFonts w:ascii="Arial" w:cs="Arial" w:eastAsia="Arial" w:hAnsi="Arial"/>
          <w:b w:val="false"/>
          <w:bCs w:val="false"/>
          <w:color w:val="000000"/>
          <w:sz w:val="24"/>
          <w:szCs w:val="24"/>
        </w:rPr>
        <w:t xml:space="preserve">MIGUEL, P. A. C. 2007. Estudo de caso na engenharia de produção: estruturação e recomendações para sua condução. Production 17(1): 216-229.</w:t>
      </w:r>
    </w:p>
    <w:p>
      <w:pPr>
        <w:spacing w:before="0" w:after="160" w:line="360" w:lineRule="auto"/>
        <w:ind/>
        <w:jc w:val="both"/>
      </w:pPr>
      <w:r>
        <w:rPr>
          <w:rFonts w:ascii="Arial" w:cs="Arial" w:eastAsia="Arial" w:hAnsi="Arial"/>
          <w:b w:val="false"/>
          <w:bCs w:val="false"/>
          <w:color w:val="000000"/>
          <w:sz w:val="24"/>
          <w:szCs w:val="24"/>
        </w:rPr>
        <w:t xml:space="preserve">MIGUEL, P. A. C.; FLEURY, A.; MELLO, C. H. P.; NAKANO, D. N.; LIMA, E. P.; TURRIONI, J. B.; HO, L. L.; MORABITO, R.; MARTINS, R. A.; SOUSA, R.; COSTA, S. E. G.; PUREZA, V. 2012. Metodologia de pesquisa em engenharia de produção e gestão de operações. 2ed. Elsevier, Rio de Janeiro, RJ, Brasil.</w:t>
      </w:r>
    </w:p>
    <w:p>
      <w:pPr>
        <w:spacing w:before="0" w:after="160" w:line="360" w:lineRule="auto"/>
        <w:ind/>
        <w:jc w:val="both"/>
      </w:pPr>
      <w:r>
        <w:rPr>
          <w:rFonts w:ascii="Arial" w:cs="Arial" w:eastAsia="Arial" w:hAnsi="Arial"/>
          <w:b w:val="false"/>
          <w:bCs w:val="false"/>
          <w:color w:val="000000"/>
          <w:sz w:val="24"/>
          <w:szCs w:val="24"/>
        </w:rPr>
        <w:t xml:space="preserve">PRODANOV, C. C.; FREITAS, E. C. de. 2013. Metodologia do trabalho científico: métodos e técnicas da pesquisa e do trabalho acadêmico. 2ed. Feevale, Novo Hamburgo, RS, Brasil.</w:t>
      </w:r>
    </w:p>
    <w:p>
      <w:pPr>
        <w:spacing w:before="0" w:after="160" w:line="360" w:lineRule="auto"/>
        <w:ind/>
        <w:jc w:val="both"/>
      </w:pPr>
      <w:r>
        <w:rPr>
          <w:rFonts w:ascii="Arial" w:cs="Arial" w:eastAsia="Arial" w:hAnsi="Arial"/>
          <w:b w:val="false"/>
          <w:bCs w:val="false"/>
          <w:color w:val="000000"/>
          <w:sz w:val="24"/>
          <w:szCs w:val="24"/>
        </w:rPr>
        <w:t xml:space="preserve">SANTOS, J. A. M. et al. Projeto de adoção do Healthcare 4.0 e 5.0 no Sistema Único de Saúde (SUS). Revista de Gestão e Projetos, v. 17, n. 1, 2026. DOI: 10.5585/2026.29958.</w:t>
      </w:r>
    </w:p>
    <w:p>
      <w:pPr>
        <w:spacing w:before="0" w:after="160" w:line="360" w:lineRule="auto"/>
        <w:ind/>
        <w:jc w:val="both"/>
      </w:pPr>
      <w:r>
        <w:rPr>
          <w:rFonts w:ascii="Arial" w:cs="Arial" w:eastAsia="Arial" w:hAnsi="Arial"/>
          <w:b w:val="false"/>
          <w:bCs w:val="false"/>
          <w:color w:val="000000"/>
          <w:sz w:val="24"/>
          <w:szCs w:val="24"/>
        </w:rPr>
        <w:t xml:space="preserve">WALTL, B. LETHE-Chat: Schema-aware LLM agents for text-to-SQL on clinical trial databases. eHealth Graz, 2025. Disponível em: &lt;https://ehealth-graz.at/wp-content/uploads/2025/09/EHT23_Waltl_LETHE_Chat.pdf&gt;. Acesso em: 7 fev. 2026.</w:t>
      </w:r>
    </w:p>
    <w:p>
      <w:pPr>
        <w:spacing w:before="0" w:after="160" w:line="360" w:lineRule="auto"/>
        <w:ind/>
        <w:jc w:val="both"/>
      </w:pPr>
      <w:r>
        <w:rPr>
          <w:rFonts w:ascii="Arial" w:cs="Arial" w:eastAsia="Arial" w:hAnsi="Arial"/>
          <w:b w:val="false"/>
          <w:bCs w:val="false"/>
          <w:color w:val="000000"/>
          <w:sz w:val="24"/>
          <w:szCs w:val="24"/>
        </w:rPr>
        <w:t xml:space="preserve">YIN, R. K. 2015. Estudo de Caso: Planejamento e métodos. Bookman Editora, Porto Alegre, RS, Brasil.</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2026-03-22T18:43:25.710Z</dcterms:created>
  <dcterms:modified xsi:type="dcterms:W3CDTF">2026-03-22T18:43:25.711Z</dcterms:modified>
</cp:coreProperties>
</file>

<file path=docProps/custom.xml><?xml version="1.0" encoding="utf-8"?>
<Properties xmlns="http://schemas.openxmlformats.org/officeDocument/2006/custom-properties" xmlns:vt="http://schemas.openxmlformats.org/officeDocument/2006/docPropsVTypes"/>
</file>