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Governança integrada habilita consulta em linguagem natural sobre ocupação de leitos hospitalares</w:t>
      </w:r>
    </w:p>
    <w:p>
      <w:pPr>
        <w:spacing w:after="80"/>
        <w:jc w:val="center"/>
      </w:pPr>
      <w:r>
        <w:rPr>
          <w:sz w:val="24"/>
          <w:szCs w:val="24"/>
        </w:rPr>
        <w:t xml:space="preserve">Gabriel Arcenio Rahal Marostica</w:t>
      </w:r>
    </w:p>
    <w:p>
      <w:pPr>
        <w:spacing w:after="80"/>
        <w:jc w:val="center"/>
      </w:pPr>
      <w:r>
        <w:rPr>
          <w:sz w:val="24"/>
          <w:szCs w:val="24"/>
        </w:rPr>
        <w:t xml:space="preserve">Orientador: José Bernardo Neto</w:t>
      </w:r>
    </w:p>
    <w:p>
      <w:pPr>
        <w:spacing w:after="240"/>
        <w:jc w:val="center"/>
      </w:pPr>
      <w:r>
        <w:rPr>
          <w:sz w:val="24"/>
          <w:szCs w:val="24"/>
        </w:rPr>
        <w:t xml:space="preserve">MBA em Engenharia de Software — USP/Esalq, 2026</w:t>
      </w:r>
    </w:p>
    <w:p>
      <w:pPr>
        <w:pStyle w:val="Heading1"/>
        <w:spacing w:after="120" w:before="200"/>
      </w:pPr>
      <w:r>
        <w:t xml:space="preserve">Resumo</w:t>
      </w:r>
    </w:p>
    <w:p>
      <w:pPr>
        <w:spacing w:after="120" w:line="360"/>
        <w:jc w:val="both"/>
      </w:pPr>
      <w:r>
        <w:t xml:space="preserve">Este trabalho propõe e implementa uma arquitetura de referência para Conversational Analytics em ambiente hospitalar, com governança integrada e aderente à LGPD, às normas da ANVISA e às diretrizes da ANPD, aplicada ao domínio de ocupação de leitos. O protótipo organiza um pipeline de dados em camadas (Bronze, Silver e Gold) sob um motor de tradução de perguntas em linguagem natural para SQL, com controles de governança na entrada e na saída e avaliação por execution match. Toda a pesquisa usa dados exclusivamente sintéticos e execução determinista. Os resultados preliminares confirmam a anonimização da camada exposta ao modelo, o funcionamento dos controles de governança e os primeiros números de acurácia do motor de linguagem, acompanhados de uma análise de erros que distingue limitações da métrica e da governança de erros de cálculo do modelo.</w:t>
      </w:r>
    </w:p>
    <w:p>
      <w:pPr>
        <w:spacing w:after="120" w:line="360"/>
        <w:jc w:val="both"/>
      </w:pPr>
      <w:r>
        <w:rPr>
          <w:b/>
          <w:bCs/>
        </w:rPr>
        <w:t xml:space="preserve">Palavras-chave: </w:t>
      </w:r>
      <w:r>
        <w:t xml:space="preserve">Text-to-SQL; conformidade regulatória; dados sintéticos; saúde digital; execution match.</w:t>
      </w:r>
    </w:p>
    <w:p>
      <w:pPr>
        <w:pStyle w:val="Heading1"/>
        <w:spacing w:after="160" w:before="240"/>
      </w:pPr>
      <w:r>
        <w:t xml:space="preserve">1. Introdução</w:t>
      </w:r>
    </w:p>
    <w:p>
      <w:pPr>
        <w:spacing w:after="120" w:line="360"/>
        <w:jc w:val="both"/>
      </w:pPr>
      <w:r>
        <w:t xml:space="preserve">As interfaces em linguagem natural para bancos de dados são um campo de pesquisa maduro (AFFOLTER; STOCKINGER; BERNSTEIN, 2019). Em particular, a tradução de perguntas em linguagem natural para consultas SQL (Text-to-SQL) é objeto de estudo consolidado, com benchmarks de referência como o Spider (YU et al., 2018) e, no domínio clínico, o EHRSQL (LEE et al., 2022), e tem sido profundamente transformada pelos modelos de linguagem de grande porte (SHI et al., 2024). A adoção desses modelos para consulta a dados clínicos em linguagem natural promete ampliar o acesso de gestores e equipes assistenciais à informação, mas esbarra em um obstáculo central: a governança dos dados e do próprio modelo costuma ser tratada de forma fragmentada, separada da arquitetura de dados. Em saúde, essa fragmentação é crítica, pois envolve dados pessoais sensíveis e um marco regulatório exigente, composto pela Lei Geral de Proteção de Dados (BRASIL, 2018), pelas normas da ANVISA aplicáveis a software como dispositivo médico (ANVISA, 2022) e pelas diretrizes da Autoridade Nacional de Proteção de Dados (ANPD, 2024).</w:t>
      </w:r>
    </w:p>
    <w:p>
      <w:pPr>
        <w:spacing w:after="120" w:line="360"/>
        <w:jc w:val="both"/>
      </w:pPr>
      <w:r>
        <w:t xml:space="preserve">Este trabalho parte da hipótese de que é possível integrar a governança à arquitetura de dados, de ponta a ponta, sem comprometer a utilidade da consulta em linguagem natural. Propõe-se uma arquitetura de referência em quatro camadas, na qual a anonimização, o controle de acesso por perfil, a validação da consulta e a auditoria atravessam todo o fluxo, da pergunta do usuário à resposta entregue. O domínio escolhido para implementação e avaliação é a ocupação de leitos hospitalares, e toda a pesquisa utiliza dados exclusivamente sintéticos, o que elimina na origem o risco de exposição de dados reais e permite que a arquitetura seja replicada por outras instituições.</w:t>
      </w:r>
    </w:p>
    <w:p>
      <w:pPr>
        <w:spacing w:after="120" w:line="360"/>
        <w:jc w:val="both"/>
      </w:pPr>
      <w:r>
        <w:t xml:space="preserve">O objetivo geral é demonstrar, por meio de um protótipo funcional, a viabilidade dessa arquitetura integrada e avaliar a acurácia do motor de tradução de perguntas em SQL sobre dados sintéticos, sob a hipótese de acurácia superior a 80%. Como objetivos específicos, o trabalho se propõe a: (a) revisar a literatura sobre Conversational Analytics, Text-to-SQL e governança de modelos de linguagem; (b) mapear os requisitos regulatórios aplicáveis (LGPD, ANVISA e ANPD); (c) projetar a arquitetura técnica, da ingestão ao Lakehouse e ao motor com guardrails; (d) desenvolver o modelo de governança, contemplando controle de acesso, rastreabilidade, anonimização e validação; e (e) implementar e avaliar o protótipo sobre dados sintéticos.</w:t>
      </w:r>
    </w:p>
    <w:p>
      <w:pPr>
        <w:pStyle w:val="Heading1"/>
        <w:spacing w:after="160" w:before="240"/>
      </w:pPr>
      <w:r>
        <w:t xml:space="preserve">2. Metodologia</w:t>
      </w:r>
    </w:p>
    <w:p>
      <w:pPr>
        <w:spacing w:after="120" w:line="360"/>
        <w:jc w:val="both"/>
      </w:pPr>
      <w:r>
        <w:t xml:space="preserve">A pesquisa caracteriza-se como um estudo de caso instrumental apoiado no desenvolvimento de um protótipo. Os métodos são descritos a seguir na mesma ordem em que os resultados são apresentados.</w:t>
      </w:r>
    </w:p>
    <w:p>
      <w:pPr>
        <w:pStyle w:val="Heading2"/>
        <w:spacing w:after="100" w:before="160"/>
      </w:pPr>
      <w:r>
        <w:t xml:space="preserve">2.1 Geração do dataset sintético</w:t>
      </w:r>
    </w:p>
    <w:p>
      <w:pPr>
        <w:spacing w:after="120" w:line="360"/>
        <w:jc w:val="both"/>
      </w:pPr>
      <w:r>
        <w:t xml:space="preserve">Os dados foram gerados de forma determinista e materializados na camada Bronze do pipeline. A geração emprega a biblioteca Faker com localidade pt_BR, governada por uma semente única, e ancora-se em uma data de referência fixa da simulação. O ambiente representa um hospital de grande porte, com oito unidades, duzentos leitos e seiscentos pacientes, e abrange uma janela histórica de noventa dias de ocupação diária. Dados pessoais identificáveis (nome, CPF e data de nascimento) são inseridos de propósito na Bronze, para que a anonimização realizada na camada seguinte seja real e demonstrável.</w:t>
      </w:r>
    </w:p>
    <w:p>
      <w:pPr>
        <w:pStyle w:val="Heading2"/>
        <w:spacing w:after="100" w:before="160"/>
      </w:pPr>
      <w:r>
        <w:t xml:space="preserve">2.2 Arquitetura em quatro camadas</w:t>
      </w:r>
    </w:p>
    <w:p>
      <w:pPr>
        <w:spacing w:after="120" w:line="360"/>
        <w:jc w:val="both"/>
      </w:pPr>
      <w:r>
        <w:t xml:space="preserve">A arquitetura organiza o sistema em quatro camadas encadeadas: o pipeline Lakehouse (Bronze, Silver e Gold), a governança de entrada, o motor de tradução de perguntas em SQL e a validação de saída. O pipeline foi implementado em DuckDB. A camada Bronze recebe os dados brutos; a Silver limpa e anonimiza; e a Gold expõe métricas agregadas, sendo a única camada visível ao motor de linguagem. As camadas internas, Bronze e Silver, permanecem inacessíveis ao modelo.</w:t>
      </w:r>
    </w:p>
    <w:p>
      <w:pPr>
        <w:pStyle w:val="Heading2"/>
        <w:spacing w:after="100" w:before="160"/>
      </w:pPr>
      <w:r>
        <w:t xml:space="preserve">2.3 Modelo de governança</w:t>
      </w:r>
    </w:p>
    <w:p>
      <w:pPr>
        <w:spacing w:after="120" w:line="360"/>
        <w:jc w:val="both"/>
      </w:pPr>
      <w:r>
        <w:t xml:space="preserve">A governança foi concebida como defesa em profundidade, alinhada às boas práticas de gestão de risco de sistemas de inteligência artificial (NIST, 2023). Na entrada, seis guardrails verificam que a consulta candidata é uma única instrução somente leitura, sem comandos de escrita ou administrativos, restrita às tabelas Gold autorizadas ao perfil do usuário, e a execução ocorre sobre uma conexão de banco somente leitura. Na saída, a validação confere o aterramento da consulta contra o schema Gold conhecido, bloqueia qualquer coluna de resultado cujo nome corresponda a um campo sensível e registra cada pergunta e cada resposta em uma trilha de auditoria, com o evento da interação.</w:t>
      </w:r>
    </w:p>
    <w:p>
      <w:pPr>
        <w:pStyle w:val="Heading2"/>
        <w:spacing w:after="100" w:before="160"/>
      </w:pPr>
      <w:r>
        <w:t xml:space="preserve">2.4 Conformidade regulatória</w:t>
      </w:r>
    </w:p>
    <w:p>
      <w:pPr>
        <w:spacing w:after="120" w:line="360"/>
        <w:jc w:val="both"/>
      </w:pPr>
      <w:r>
        <w:t xml:space="preserve">Os requisitos regulatórios foram mapeados a controles concretos da arquitetura, à camada responsável e à sua situação de implementação. O mapeamento cobre a LGPD, as normas da ANVISA aplicáveis a software como dispositivo médico e as diretrizes da ANPD, totalizando onze requisitos, e evidencia que a governança atravessa as quatro camadas e não se restringe ao motor de inteligência artificial.</w:t>
      </w:r>
    </w:p>
    <w:p>
      <w:pPr>
        <w:pStyle w:val="Heading2"/>
        <w:spacing w:after="100" w:before="160"/>
      </w:pPr>
      <w:r>
        <w:t xml:space="preserve">2.5 Método de avaliação</w:t>
      </w:r>
    </w:p>
    <w:p>
      <w:pPr>
        <w:spacing w:after="120" w:line="360"/>
        <w:jc w:val="both"/>
      </w:pPr>
      <w:r>
        <w:t xml:space="preserve">A avaliação adota a métrica de execution match, consolidada em benchmarks de Text-to-SQL como o Spider (YU et al., 2018), o EHRSQL (LEE et al., 2022) e o BIRD (LI et al., 2023): a consulta gerada pelo modelo e a consulta de referência são executadas e seus conjuntos de resultados são comparados após normalização (arredondamento numérico com tolerância de duas casas, datas em formato ISO e linhas ordenadas). Além da acurácia, são medidos dois indicadores de governança: a taxa de aprovação das consultas pelos guardrails e a completude do log de auditoria. O conjunto de avaliação reúne dezoito perguntas em português, com a respectiva consulta de referência sobre a Gold, cobrindo quatro tipos de pergunta operacional: status atual, métrica por unidade, série histórica e internações por faixa etária. O motor existe em duas implementações intercambiáveis: o oráculo, que devolve a consulta de referência e serve apenas para autoteste da tubulação, e o modelo de linguagem real, que gera os números reportados.</w:t>
      </w:r>
    </w:p>
    <w:p>
      <w:pPr>
        <w:pStyle w:val="Heading2"/>
        <w:spacing w:after="100" w:before="160"/>
      </w:pPr>
      <w:r>
        <w:t xml:space="preserve">2.6 Reprodutibilidade e integridade</w:t>
      </w:r>
    </w:p>
    <w:p>
      <w:pPr>
        <w:spacing w:after="120" w:line="360"/>
        <w:jc w:val="both"/>
      </w:pPr>
      <w:r>
        <w:t xml:space="preserve">A reprodutibilidade foi assegurada por construção. Uma semente fixa e uma data de referência fixa controlam toda a geração de dados e as consultas que mencionam datas relativas; o ambiente foi fixado em uma versão específica de Python, com dependências travadas por versão e uma imagem reprodutível cuja base é fixada por digest. A integração contínua executa, a cada alteração, apenas o motor oráculo, sem chave de API e sem custo. Como princípio de integridade, os números de acurácia provêm somente da execução real do modelo, com a separação explícita entre o oráculo (autoteste) e o modelo (desempenho).</w:t>
      </w:r>
    </w:p>
    <w:p>
      <w:r>
        <w:br w:type="page"/>
      </w:r>
    </w:p>
    <w:p>
      <w:pPr>
        <w:pStyle w:val="Heading1"/>
        <w:spacing w:after="160" w:before="240"/>
      </w:pPr>
      <w:r>
        <w:t xml:space="preserve">3. Resultados Preliminares</w:t>
      </w:r>
    </w:p>
    <w:p>
      <w:pPr>
        <w:spacing w:after="120" w:line="360"/>
        <w:jc w:val="both"/>
      </w:pPr>
      <w:r>
        <w:t xml:space="preserve">Apresentam-se a seguir os resultados parciais verificáveis. Os números provêm de execução determinista e são reprodutíveis.</w:t>
      </w:r>
    </w:p>
    <w:p>
      <w:pPr>
        <w:pStyle w:val="Heading2"/>
        <w:spacing w:after="100" w:before="160"/>
      </w:pPr>
      <w:r>
        <w:t xml:space="preserve">3.1 Geração do dataset sintético</w:t>
      </w:r>
    </w:p>
    <w:p>
      <w:pPr>
        <w:spacing w:after="120" w:line="360"/>
        <w:jc w:val="both"/>
      </w:pPr>
      <w:r>
        <w:t xml:space="preserve">A geração produziu, de forma determinista, oito unidades, duzentos leitos, seiscentos pacientes, 2.012 internações e 18.000 registros de ocupação diária. No dia de referência (31 de maio de 2026), o hospital apresentava 150 leitos ocupados, 42 livres e 8 bloqueados, o que corresponde a uma taxa de ocupação de 75,0%. A coerência foi verificada: as 150 internações ativas igualaram exatamente os 150 leitos ocupados no dia de referência. A transformação para as camadas Silver e Gold confirmou a anonimização: a tabela de pacientes da Silver não contém nome, CPF nem data de nascimento; o identificador do paciente foi substituído por um pseudônimo derivado de hash com salt, sem colisão entre os seiscentos pacientes; e a data de nascimento deu lugar à faixa etária, em linha com os princípios de anonimização e generalização de atributos identificadores (SWEENEY, 2002). A Tabela 1 resume o snapshot de ocupação por unidade.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1"/>
        <w:gridCol w:w="1240"/>
        <w:gridCol w:w="1240"/>
        <w:gridCol w:w="1240"/>
        <w:gridCol w:w="1500"/>
        <w:gridCol w:w="1500"/>
      </w:tblGrid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Unidade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Ocup.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Livres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Bloq.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Taxa (%)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Cardiologia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Pediatria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Clínica Médica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Cirurgia Geral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Ortopedia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Neurologia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Oncologia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Pronto-Socorro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Hospital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200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150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42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75,0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1. Ocupação por unidade no dia de referência (camada Gold). Fonte: o autor.</w:t>
      </w:r>
    </w:p>
    <w:p>
      <w:pPr>
        <w:pStyle w:val="Heading2"/>
        <w:spacing w:after="100" w:before="160"/>
      </w:pPr>
      <w:r>
        <w:t xml:space="preserve">3.2 Arquitetura de referência em quatro camadas</w:t>
      </w:r>
    </w:p>
    <w:p>
      <w:pPr>
        <w:spacing w:after="120" w:line="360"/>
        <w:jc w:val="both"/>
      </w:pPr>
      <w:r>
        <w:t xml:space="preserve">A arquitetura foi documentada e implementada nas quatro camadas, com fluxo rastreável da pergunta do usuário à resposta entregue. Apenas a camada Gold, agregada, é exposta ao modelo; as camadas Bronze e Silver permanecem inacessíveis. A documentação modular do protótipo consolida essa arquitetura como o principal artefato de referência do trabalho, com decisões, regras críticas, controles e requisitos regulatórios identificados e rastreáveis ao código.</w:t>
      </w:r>
    </w:p>
    <w:p>
      <w:pPr>
        <w:pStyle w:val="Heading2"/>
        <w:spacing w:after="100" w:before="160"/>
      </w:pPr>
      <w:r>
        <w:t xml:space="preserve">3.3 Modelo de governança de entrada e saída</w:t>
      </w:r>
    </w:p>
    <w:p>
      <w:pPr>
        <w:spacing w:after="120" w:line="360"/>
        <w:jc w:val="both"/>
      </w:pPr>
      <w:r>
        <w:t xml:space="preserve">Os controles de governança foram implementados e verificados por testes. A eficácia foi observada na avaliação com o modelo real: em duas perguntas, o modelo produziu uma consulta que retornaria o número correto, porém a partir de uma tabela fora do escopo autorizado ao perfil de enfermagem. Em ambos os casos, o guardrail de escopo por perfil bloqueou a execução antes que a consulta tocasse o banco, evidenciando que o controle de acesso por finalidade opera como projetado. A validação de saída e a auditoria da resposta completam a barreira final de governança.</w:t>
      </w:r>
    </w:p>
    <w:p>
      <w:pPr>
        <w:pStyle w:val="Heading2"/>
        <w:spacing w:after="100" w:before="160"/>
      </w:pPr>
      <w:r>
        <w:t xml:space="preserve">3.4 Conformidade regulatória</w:t>
      </w:r>
    </w:p>
    <w:p>
      <w:pPr>
        <w:spacing w:after="120" w:line="360"/>
        <w:jc w:val="both"/>
      </w:pPr>
      <w:r>
        <w:t xml:space="preserve">O mapeamento entre os onze requisitos regulatórios e os controles da arquitetura foi concluído, associando cada requisito a um controle implementado, à camada responsável e à sua situação. O resultado demonstra que a governança é transversal às quatro camadas, e não um componente isolado do motor de inteligência artificial.</w:t>
      </w:r>
    </w:p>
    <w:p>
      <w:pPr>
        <w:pStyle w:val="Heading2"/>
        <w:spacing w:after="100" w:before="160"/>
      </w:pPr>
      <w:r>
        <w:t xml:space="preserve">3.5 Avaliação</w:t>
      </w:r>
    </w:p>
    <w:p>
      <w:pPr>
        <w:spacing w:after="120" w:line="360"/>
        <w:jc w:val="both"/>
      </w:pPr>
      <w:r>
        <w:t xml:space="preserve">A tubulação de avaliação foi exercitada de ponta a ponta com o motor oráculo. Para as dezoito perguntas, o execution match resultou em 100%, a aprovação na governança em 100% e a completude do log em 100%. Esse resultado é um autoteste da tubulação e não representa o desempenho do modelo.</w:t>
      </w:r>
    </w:p>
    <w:p>
      <w:pPr>
        <w:spacing w:after="120" w:line="360"/>
        <w:jc w:val="both"/>
      </w:pPr>
      <w:r>
        <w:t xml:space="preserve">A primeira execução com o modelo de linguagem real forneceu os primeiros números de acurácia. Sobre o conjunto inicial de dez perguntas, o execution match estrito foi de 60,0%. Após a correção de uma inconsistência interna do harness de medição (o arredondamento embutido na consulta de referência) e a ampliação do conjunto para dezoito perguntas, o execution match foi de 61,1%. A estabilidade do valor com o conjunto quase dobrado indica que a medida não foi fortuita. Esse patamar é coerente com a literatura, na qual mesmo modelos avançados alcançam acurácia limitada em benchmarks realistas, a exemplo dos cerca de 40% relatados para o ChatGPT no BIRD (LI et al., 2023). A Tabela 2 reporta as duas execuções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700"/>
        <w:gridCol w:w="1700"/>
        <w:gridCol w:w="1700"/>
        <w:gridCol w:w="17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Execução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Conjunto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AVAL-003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Bruta (1ª)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Refinada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61,1%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88,9%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2. Indicadores de avaliação do modelo real, bruto e refinado. Fonte: o autor.</w:t>
      </w:r>
    </w:p>
    <w:p>
      <w:pPr>
        <w:spacing w:after="120" w:line="360"/>
        <w:jc w:val="both"/>
      </w:pPr>
      <w:r>
        <w:t xml:space="preserve">A análise dos resultados não correspondentes da execução refinada mostrou que a maior parte não decorreu de erro de cálculo do modelo, conforme a Tabela 3. Das dezoito perguntas, apenas uma apresentou erro genuíno de cálculo (filtragem de um valor categórico com a caixa incorreta, resultando em conjunto vazio). Duas foram bloqueadas pela governança, por acessarem tabela fora do escopo do perfil, embora o valor numérico estivesse correto. As quatro restantes divergiram apenas na forma do resultado, com colunas adicionais ou formato distinto, refletindo a sensibilidade conhecida do execution match estrito à projeção. Manteve-se o execution match estrito como métrica primária, sem a introdução de métricas alternativas mais permissivas; a categorização dos erros acompanha o número.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200"/>
        <w:gridCol w:w="56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Itens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Natureza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Bloqueio pela governança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 correto, porém via tabela fora do escopo do perfil; barrado pelo guardrail.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Forma / projeção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Valores corretos, com colunas extras ou formato distinto; limitação do execution match.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Erro de cálculo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Filtragem de valor categórico com caixa incorreta (value linking).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Corretas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Conjunto de resultados idêntico ao da referência.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3. Categorização dos resultados da execução refinada (18 perguntas). Fonte: o autor.</w:t>
      </w:r>
    </w:p>
    <w:p>
      <w:pPr>
        <w:pStyle w:val="Heading2"/>
        <w:spacing w:after="100" w:before="160"/>
      </w:pPr>
      <w:r>
        <w:t xml:space="preserve">3.6 Reprodutibilidade e integridade</w:t>
      </w:r>
    </w:p>
    <w:p>
      <w:pPr>
        <w:spacing w:after="120" w:line="360"/>
        <w:jc w:val="both"/>
      </w:pPr>
      <w:r>
        <w:t xml:space="preserve">A reprodutibilidade foi confirmada: a mesma configuração reproduz os mesmos dados e números, inclusive entre as versões 3.12 e 3.14 do Python. A integração contínua executa o autoteste a cada alteração, sem chave e sem custo, e a imagem reprodutível fixa o ambiente por completo. Os números de acurácia foram coletados apenas em execução real do modelo, com a metodologia de medição decidida antes da reexecução e os valores bruto e refinado reportados lado a lado, preservando a integridade dos resultados.</w:t>
      </w:r>
    </w:p>
    <w:p>
      <w:pPr>
        <w:pStyle w:val="Heading1"/>
        <w:spacing w:after="160" w:before="240"/>
      </w:pPr>
      <w:r>
        <w:t xml:space="preserve">4. Considerações Finais (parciais)</w:t>
      </w:r>
    </w:p>
    <w:p>
      <w:pPr>
        <w:spacing w:after="120" w:line="360"/>
        <w:jc w:val="both"/>
      </w:pPr>
      <w:r>
        <w:t xml:space="preserve">Os resultados preliminares confirmam a viabilidade técnica da arquitetura integrada: o pipeline de dados é coerente e anonimizado, os controles de governança funcionam de ponta a ponta e a avaliação produz números reais e verificáveis. Sob execution match estrito, a hipótese de acurácia superior a 80% ainda não se confirma; a análise de erros, contudo, indica que o teto é puxado pela forma do resultado e pela governança, e não pelo raciocínio do modelo, já que apenas um dos dezoito casos correspondeu a erro de cálculo. Como continuidade, preveem-se o tratamento de value linking (exposição dos valores categóricos do schema ao modelo ou comparação textual sem distinção de caixa), a discussão da métrica sensível à forma e a ampliação e estratificação do conjunto de avaliação por tipo de pergunta e por perfil.</w:t>
      </w:r>
    </w:p>
    <w:p>
      <w:pPr>
        <w:pStyle w:val="Heading1"/>
        <w:spacing w:after="160" w:before="240"/>
      </w:pPr>
      <w:r>
        <w:t xml:space="preserve">Referências</w:t>
      </w:r>
    </w:p>
    <w:p>
      <w:pPr>
        <w:spacing w:after="120" w:line="360"/>
        <w:ind w:left="480" w:hanging="480"/>
        <w:jc w:val="left"/>
      </w:pPr>
      <w:r>
        <w:t xml:space="preserve">AFFOLTER, K.; STOCKINGER, K.; BERNSTEIN, A. A comparative survey of recent natural language interfaces for databases. The VLDB Journal, v. 28, n. 5, p. 793-819, 2019. DOI: 10.1007/s00778-019-00567-8.</w:t>
      </w:r>
    </w:p>
    <w:p>
      <w:pPr>
        <w:spacing w:after="120" w:line="360"/>
        <w:ind w:left="480" w:hanging="480"/>
        <w:jc w:val="left"/>
      </w:pPr>
      <w:r>
        <w:t xml:space="preserve">AGÊNCIA NACIONAL DE VIGILÂNCIA SANITÁRIA (ANVISA). Resolução da Diretoria Colegiada – RDC nº 657, de 24 de março de 2022. Dispõe sobre a regularização de software como dispositivo médico (Software as a Medical Device – SaMD). Brasília, DF: Anvisa, 2022.</w:t>
      </w:r>
    </w:p>
    <w:p>
      <w:pPr>
        <w:spacing w:after="120" w:line="360"/>
        <w:ind w:left="480" w:hanging="480"/>
        <w:jc w:val="left"/>
      </w:pPr>
      <w:r>
        <w:t xml:space="preserve">AUTORIDADE NACIONAL DE PROTEÇÃO DE DADOS (ANPD). Radar tecnológico: inteligência artificial generativa. Brasília, DF: ANPD, 2024.</w:t>
      </w:r>
    </w:p>
    <w:p>
      <w:pPr>
        <w:spacing w:after="120" w:line="360"/>
        <w:ind w:left="480" w:hanging="480"/>
        <w:jc w:val="left"/>
      </w:pPr>
      <w:r>
        <w:t xml:space="preserve">BRASIL. Lei nº 13.709, de 14 de agosto de 2018. Lei Geral de Proteção de Dados Pessoais (LGPD). Brasília, DF: Presidência da República, 2018.</w:t>
      </w:r>
    </w:p>
    <w:p>
      <w:pPr>
        <w:spacing w:after="120" w:line="360"/>
        <w:ind w:left="480" w:hanging="480"/>
        <w:jc w:val="left"/>
      </w:pPr>
      <w:r>
        <w:t xml:space="preserve">LEE, G.; HWANG, H.; BAE, S.; KWON, Y.; SHIN, W.; YANG, S.; SEO, M.; KIM, J.-Y.; CHOI, E. EHRSQL: a practical text-to-SQL benchmark for electronic health records. In: Advances in Neural Information Processing Systems (NeurIPS) – Datasets and Benchmarks Track, 2022. arXiv:2301.07695.</w:t>
      </w:r>
    </w:p>
    <w:p>
      <w:pPr>
        <w:spacing w:after="120" w:line="360"/>
        <w:ind w:left="480" w:hanging="480"/>
        <w:jc w:val="left"/>
      </w:pPr>
      <w:r>
        <w:t xml:space="preserve">LI, J.; HUI, B.; QU, G. et al. Can LLM already serve as a database interface? A big bench for large-scale database grounded text-to-SQLs (BIRD). In: Advances in Neural Information Processing Systems (NeurIPS) – Datasets and Benchmarks Track, 2023. arXiv:2305.03111.</w:t>
      </w:r>
    </w:p>
    <w:p>
      <w:pPr>
        <w:spacing w:after="120" w:line="360"/>
        <w:ind w:left="480" w:hanging="480"/>
        <w:jc w:val="left"/>
      </w:pPr>
      <w:r>
        <w:t xml:space="preserve">NATIONAL INSTITUTE OF STANDARDS AND TECHNOLOGY (NIST). Artificial Intelligence Risk Management Framework (AI RMF 1.0). NIST AI 100-1. Gaithersburg, MD: NIST, 2023.</w:t>
      </w:r>
    </w:p>
    <w:p>
      <w:pPr>
        <w:spacing w:after="120" w:line="360"/>
        <w:ind w:left="480" w:hanging="480"/>
        <w:jc w:val="left"/>
      </w:pPr>
      <w:r>
        <w:t xml:space="preserve">SHI, L.; TANG, Z.; ZHANG, N.; ZHANG, X.; YANG, Z. A survey on employing large language models for text-to-SQL tasks. ACM Computing Surveys, 2024. arXiv:2407.15186.</w:t>
      </w:r>
    </w:p>
    <w:p>
      <w:pPr>
        <w:spacing w:after="120" w:line="360"/>
        <w:ind w:left="480" w:hanging="480"/>
        <w:jc w:val="left"/>
      </w:pPr>
      <w:r>
        <w:t xml:space="preserve">SWEENEY, L. k-anonymity: a model for protecting privacy. International Journal of Uncertainty, Fuzziness and Knowledge-Based Systems, v. 10, n. 5, p. 557-570, 2002. DOI: 10.1142/S0218488502001648.</w:t>
      </w:r>
    </w:p>
    <w:p>
      <w:pPr>
        <w:spacing w:after="120" w:line="360"/>
        <w:ind w:left="480" w:hanging="480"/>
        <w:jc w:val="left"/>
      </w:pPr>
      <w:r>
        <w:t xml:space="preserve">YU, T.; ZHANG, R.; YANG, K.; YASUNAGA, M.; WANG, D.; LI, Z.; MA, J.; LI, I.; YAO, Q.; ROMAN, S.; ZHANG, Z.; RADEV, D. Spider: a large-scale human-labeled dataset for complex and cross-domain semantic parsing and text-to-SQL task. In: Proceedings of the 2018 Conference on Empirical Methods in Natural Language Processing (EMNLP), 2018. arXiv:1809.08887.</w:t>
      </w:r>
    </w:p>
    <w:p>
      <w:pPr>
        <w:spacing w:before="120"/>
      </w:pPr>
      <w:r>
        <w:rPr>
          <w:i/>
          <w:iCs/>
          <w:color w:val="777777"/>
          <w:sz w:val="18"/>
          <w:szCs w:val="18"/>
        </w:rPr>
        <w:t xml:space="preserve">Nota (remover antes do depósito): referências reais, verificadas, propostas para os temas do trabalho. Confirme que foram efetivamente consultadas, ajuste à formatação ABNT da USP/Esalq (data de acesso, DOI/URL) e acrescente as demais obras da sua revisão de literatura.</w:t>
      </w:r>
    </w:p>
    <w:p>
      <w:pPr>
        <w:pStyle w:val="Heading1"/>
        <w:pageBreakBefore/>
        <w:spacing w:after="160" w:before="120"/>
      </w:pPr>
      <w:r>
        <w:t xml:space="preserve">Apêndice A — Arquitetura de referência em quatro camadas</w:t>
      </w:r>
    </w:p>
    <w:p>
      <w:pPr>
        <w:spacing w:after="60"/>
        <w:jc w:val="center"/>
      </w:pPr>
      <w:r>
        <w:drawing>
          <wp:inline distT="0" distB="0" distL="0" distR="0">
            <wp:extent cx="4191000" cy="3400425"/>
            <wp:effectExtent t="0" r="0" b="0" l="0"/>
            <wp:docPr id="1" name="arquitetura_camadas" descr="Fluxo de uma pergunta pelas quatro camadas da arquitetura" title="Arquitetura em quatro cam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</w:pPr>
      <w:r>
        <w:rPr>
          <w:i/>
          <w:iCs/>
          <w:sz w:val="20"/>
          <w:szCs w:val="20"/>
        </w:rPr>
        <w:t xml:space="preserve">Figura A.1. Fluxo de uma pergunta pelas quatro camadas. Fonte: o autor.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1"/>
        <w:gridCol w:w="4920"/>
        <w:gridCol w:w="2100"/>
      </w:tblGrid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Responsabilidade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Documentação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 Pipeline Lakehouse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Ingestão (Bronze), limpeza e anonimização (Silver), métricas (Gold)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camadas/01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 Governança de entrada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Perfil, registro da pergunta e conformidade antes de executar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camadas/02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 Motor Text-to-SQL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Pergunta em português para SQL somente leitura na Gold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camadas/03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 Validação de saída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Aterramento, filtro de campo sensível e auditoria da resposta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camadas/04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Quadro A.1. Síntese das quatro camadas. Fonte: o autor.</w:t>
      </w:r>
    </w:p>
    <w:p>
      <w:pPr>
        <w:pStyle w:val="Heading1"/>
        <w:pageBreakBefore/>
        <w:spacing w:after="160" w:before="120"/>
      </w:pPr>
      <w:r>
        <w:t xml:space="preserve">Apêndice B — Requisitos regulatórios e controles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5131"/>
        <w:gridCol w:w="2200"/>
      </w:tblGrid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Controle na arquitetura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Camada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Anonimização na Silver: remoção de nome, CPF e data de nascimento; derivação de faixa etária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Silver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REG-LGPD-002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Pseudonimização de id_paciente por hash; nenhuma identificação direta sobrevive à Silver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Silver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REG-LGPD-003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Apenas a Gold, agregada, é exposta ao motor; Bronze e Silver inacessíveis (CTRL-GOV-004)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Gold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REG-LGPD-004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Perfis autorizam apenas tabelas Gold específicas (CTRL-GOV-005)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Entrada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REG-LGPD-005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Guardrails CTRL-GOV-001 a 003 e 006: SQL única somente leitura, sem escrita/admin, conexão read-only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Entrada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REG-LGPD-006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Filtro de saída CTRL-VALID-002: bloqueia coluna com nome de campo sensível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Saída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REG-LGPD-007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Auditoria CTRL-AUD-001: registro de toda pergunta e resposta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Auditoria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REG-ANPD-001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Aterramento CTRL-VALID-001: toda tabela citada deve existir no schema Gold conhecido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Saída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REG-ANPD-002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Escopo restrito por perfil, execução somente leitura e registro integral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Entrada e Auditoria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REG-ANVISA-001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Guardrails versionados, auditoria e reprodutibilidade do software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Transversal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REG-PESQ-001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Determinismo (SEED, SIM_TODAY); separação motor LLM (números) vs oráculo (autoteste)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Transversal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Quadro B.1. Mapeamento de requisitos regulatórios para controles e camadas. Fonte: o autor.</w:t>
      </w:r>
    </w:p>
    <w:p>
      <w:pPr>
        <w:spacing w:before="240"/>
      </w:pPr>
      <w:r>
        <w:rPr>
          <w:i/>
          <w:iCs/>
          <w:color w:val="777777"/>
          <w:sz w:val="18"/>
          <w:szCs w:val="18"/>
        </w:rPr>
        <w:t xml:space="preserve">Nota (remover antes do depósito): documento de apoio gerado a partir da documentação do protótipo (RES-001 a RES-007). Capa, objetivos e referências já preenchidos; confira a formatação ABNT da USP/Esalq e acrescente as demais obras da revisão de literatura. Teto de 30 páginas; redação no pretérito impessoal.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fa90c7ddc2ef985380c2bd7f918c78fc422d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2026-06-15T14:45:51.964Z</dcterms:created>
  <dcterms:modified xsi:type="dcterms:W3CDTF">2026-06-15T14:45:51.965Z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