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0127" w14:textId="65578258" w:rsidR="00A10484" w:rsidRDefault="009B3B40">
      <w:pPr>
        <w:pStyle w:val="Title"/>
      </w:pPr>
      <w:r>
        <w:t>GSK/DigData Challenge 1</w:t>
      </w:r>
    </w:p>
    <w:p w14:paraId="70CF2C3A" w14:textId="6154F7EB" w:rsidR="00855982" w:rsidRDefault="006B28CC" w:rsidP="00855982">
      <w:pPr>
        <w:pStyle w:val="Heading1"/>
      </w:pPr>
      <w:r>
        <w:t>Reading the data</w:t>
      </w:r>
    </w:p>
    <w:p w14:paraId="012139ED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library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tidyverse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2B7EAC6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library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ggplot2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4B6982F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BF8F175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Import excel data and store in variables</w:t>
      </w:r>
    </w:p>
    <w:p w14:paraId="5853D9B0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read_csv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"clinical-study.csv"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23D31A05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protein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read_csv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"protein-levels.csv"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3B7E983" w14:textId="0AAA5052" w:rsidR="006B28CC" w:rsidRDefault="006B28CC" w:rsidP="006B28CC">
      <w:pPr>
        <w:pStyle w:val="Heading1"/>
      </w:pPr>
      <w:r>
        <w:t>Cleaning</w:t>
      </w:r>
    </w:p>
    <w:p w14:paraId="1577CCF0" w14:textId="0CE747E3" w:rsidR="006B28CC" w:rsidRPr="002F7A22" w:rsidRDefault="006B28CC" w:rsidP="006B28CC">
      <w:pPr>
        <w:rPr>
          <w:rFonts w:ascii="Times New Roman" w:hAnsi="Times New Roman" w:cs="Times New Roman"/>
        </w:rPr>
      </w:pPr>
      <w:r w:rsidRPr="002F7A22">
        <w:rPr>
          <w:rFonts w:ascii="Times New Roman" w:hAnsi="Times New Roman" w:cs="Times New Roman"/>
        </w:rPr>
        <w:t>When dealing with NA values, I decided to populate them with the mean. By doing so</w:t>
      </w:r>
      <w:r w:rsidR="002F7A22" w:rsidRPr="002F7A22">
        <w:rPr>
          <w:rFonts w:ascii="Times New Roman" w:hAnsi="Times New Roman" w:cs="Times New Roman"/>
        </w:rPr>
        <w:t>,</w:t>
      </w:r>
      <w:r w:rsidRPr="002F7A22">
        <w:rPr>
          <w:rFonts w:ascii="Times New Roman" w:hAnsi="Times New Roman" w:cs="Times New Roman"/>
        </w:rPr>
        <w:t xml:space="preserve"> it prevents the incumbent mean from being influenced or changed</w:t>
      </w:r>
      <w:r w:rsidR="002F7A22" w:rsidRPr="002F7A22">
        <w:rPr>
          <w:rFonts w:ascii="Times New Roman" w:hAnsi="Times New Roman" w:cs="Times New Roman"/>
        </w:rPr>
        <w:t xml:space="preserve">, which would occur if values other than the mean were to be inserted. Additionally, any </w:t>
      </w:r>
      <w:r w:rsidR="00390EE7">
        <w:rPr>
          <w:rFonts w:ascii="Times New Roman" w:hAnsi="Times New Roman" w:cs="Times New Roman"/>
        </w:rPr>
        <w:t>missing weight values</w:t>
      </w:r>
      <w:r w:rsidR="002F7A22" w:rsidRPr="002F7A22">
        <w:rPr>
          <w:rFonts w:ascii="Times New Roman" w:hAnsi="Times New Roman" w:cs="Times New Roman"/>
        </w:rPr>
        <w:t xml:space="preserve"> have been populated with an average which means that the original value </w:t>
      </w:r>
      <w:r w:rsidR="00390EE7">
        <w:rPr>
          <w:rFonts w:ascii="Times New Roman" w:hAnsi="Times New Roman" w:cs="Times New Roman"/>
        </w:rPr>
        <w:t>were</w:t>
      </w:r>
      <w:r w:rsidR="002F7A22" w:rsidRPr="002F7A22">
        <w:rPr>
          <w:rFonts w:ascii="Times New Roman" w:hAnsi="Times New Roman" w:cs="Times New Roman"/>
        </w:rPr>
        <w:t xml:space="preserve"> similar to the average value.</w:t>
      </w:r>
    </w:p>
    <w:p w14:paraId="3C42C5BB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rename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</w:p>
    <w:p w14:paraId="68A86A40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200118DB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participant_id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subject_id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652349D8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treatment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trt_grp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15D4DDD4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</w:p>
    <w:p w14:paraId="224ED93F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45F10773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AB79E25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protein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rename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</w:p>
    <w:p w14:paraId="013AC358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protein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4664A889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concentration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protein_concentration</w:t>
      </w:r>
    </w:p>
    <w:p w14:paraId="1EA27800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9E249FA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93CDB94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filter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&gt;=</w:t>
      </w:r>
      <w:r w:rsidRPr="006B28C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EC09BDA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distinct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participant_id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.keep_all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E27C0EE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6212FEC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Replace with mean so that it does not introduce bias to incumbent mean.</w:t>
      </w:r>
    </w:p>
    <w:p w14:paraId="623832D2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replace_na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list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91.39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21028413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protein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replace_na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protein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list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concentration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121.7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789181F3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1333833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mutate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as_factor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24FFA5D1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mutate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BMI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**</w:t>
      </w:r>
      <w:r w:rsidRPr="006B28C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E88F99F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7DD4507" w14:textId="77777777" w:rsidR="006B28CC" w:rsidRPr="006B28CC" w:rsidRDefault="006B28CC" w:rsidP="006B2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left_join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protein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6B28C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by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6B28C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"participant_id"</w:t>
      </w:r>
      <w:r w:rsidRPr="006B28C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4CA4DEB" w14:textId="77777777" w:rsidR="006B28CC" w:rsidRDefault="006B28CC" w:rsidP="006B28CC"/>
    <w:p w14:paraId="03FA0C82" w14:textId="3EDC7BBF" w:rsidR="002F7A22" w:rsidRDefault="002F7A22" w:rsidP="002F7A22">
      <w:pPr>
        <w:pStyle w:val="Heading1"/>
        <w:tabs>
          <w:tab w:val="left" w:pos="3525"/>
        </w:tabs>
      </w:pPr>
      <w:r>
        <w:lastRenderedPageBreak/>
        <w:t>Aggregating</w:t>
      </w:r>
    </w:p>
    <w:p w14:paraId="0727D4D5" w14:textId="0BC9DB7C" w:rsidR="002F7A22" w:rsidRDefault="002F7A22" w:rsidP="002F7A22">
      <w:pPr>
        <w:rPr>
          <w:rFonts w:ascii="Times New Roman" w:hAnsi="Times New Roman" w:cs="Times New Roman"/>
        </w:rPr>
      </w:pPr>
      <w:r w:rsidRPr="002F7A22">
        <w:rPr>
          <w:rFonts w:ascii="Times New Roman" w:hAnsi="Times New Roman" w:cs="Times New Roman"/>
        </w:rPr>
        <w:t>When comparing disparities among the drug and control treatment groups, I noticed that the average weight of the control group was higher, at a</w:t>
      </w:r>
      <w:r>
        <w:rPr>
          <w:rFonts w:ascii="Times New Roman" w:hAnsi="Times New Roman" w:cs="Times New Roman"/>
        </w:rPr>
        <w:t xml:space="preserve"> 1.1kg or</w:t>
      </w:r>
      <w:r w:rsidRPr="002F7A22">
        <w:rPr>
          <w:rFonts w:ascii="Times New Roman" w:hAnsi="Times New Roman" w:cs="Times New Roman"/>
        </w:rPr>
        <w:t xml:space="preserve"> 1.</w:t>
      </w:r>
      <w:r w:rsidR="0048625C">
        <w:rPr>
          <w:rFonts w:ascii="Times New Roman" w:hAnsi="Times New Roman" w:cs="Times New Roman"/>
        </w:rPr>
        <w:t>13</w:t>
      </w:r>
      <w:r w:rsidRPr="002F7A22">
        <w:rPr>
          <w:rFonts w:ascii="Times New Roman" w:hAnsi="Times New Roman" w:cs="Times New Roman"/>
        </w:rPr>
        <w:t>% increase.</w:t>
      </w:r>
      <w:r w:rsidR="0048625C">
        <w:rPr>
          <w:rFonts w:ascii="Times New Roman" w:hAnsi="Times New Roman" w:cs="Times New Roman"/>
        </w:rPr>
        <w:t xml:space="preserve"> Although it may seem insignificant, the disparity may still contribute to incorrect assumptions. On the other hand, the average age was almost identical, at a 0.1 difference in mean age.</w:t>
      </w:r>
    </w:p>
    <w:p w14:paraId="49AFE674" w14:textId="53211236" w:rsidR="0048625C" w:rsidRDefault="0048625C" w:rsidP="002F7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average, responders were 3.3kg</w:t>
      </w:r>
      <w:r w:rsidR="00A233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heavier than non-responders which could suggest that Miraculon-A and the control drug are more effective among patients with a higher body weight.</w:t>
      </w:r>
      <w:r w:rsidR="00A23349">
        <w:rPr>
          <w:rFonts w:ascii="Times New Roman" w:hAnsi="Times New Roman" w:cs="Times New Roman"/>
        </w:rPr>
        <w:t xml:space="preserve"> Both responders and non-responders had similar average ages, with a 0.1 </w:t>
      </w:r>
      <w:r w:rsidR="00351B6D">
        <w:rPr>
          <w:rFonts w:ascii="Times New Roman" w:hAnsi="Times New Roman" w:cs="Times New Roman"/>
        </w:rPr>
        <w:t>difference, suggesting</w:t>
      </w:r>
      <w:r w:rsidR="00A23349">
        <w:rPr>
          <w:rFonts w:ascii="Times New Roman" w:hAnsi="Times New Roman" w:cs="Times New Roman"/>
        </w:rPr>
        <w:t xml:space="preserve"> that it does not affect drug effectiveness.</w:t>
      </w:r>
    </w:p>
    <w:p w14:paraId="1BA3939A" w14:textId="30384654" w:rsidR="00A23349" w:rsidRDefault="00A23349" w:rsidP="002F7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drug group there were 210 responders whereas the control group had 124 responders, that is a 69.35% difference. This strongly suggests that Miraculon-A is over twice as effective as the control drug.</w:t>
      </w:r>
    </w:p>
    <w:p w14:paraId="1E53E10E" w14:textId="3EBA6361" w:rsidR="00BE2492" w:rsidRDefault="00BE2492" w:rsidP="002F7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protein concentration in responders was 105ug/L and 22% lower compared to non-responders. The data indicates that both drugs may be most effective when the protein concentration is around ~105ug/L.</w:t>
      </w:r>
    </w:p>
    <w:p w14:paraId="71A03542" w14:textId="01BC8B91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Checking patient age/weight disparity between the DRUG and CONTROL groups.</w:t>
      </w:r>
    </w:p>
    <w:p w14:paraId="2A281DFD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cmpr_demo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%&gt;%</w:t>
      </w:r>
    </w:p>
    <w:p w14:paraId="601333DF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group_by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treatment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BB9DE5B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cmpr_demo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%&gt;%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summarise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average_weight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mean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average_age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mean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335FE8F1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1783DD2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Comparing mean weight and age in responders vs non responders</w:t>
      </w:r>
    </w:p>
    <w:p w14:paraId="7CE853B6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cmpr_demo_response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%&gt;%</w:t>
      </w:r>
    </w:p>
    <w:p w14:paraId="77E076AF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group_by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9360FD5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cmpr_demo_response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%&gt;%</w:t>
      </w:r>
    </w:p>
    <w:p w14:paraId="2A0A4CC0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summarise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average_weight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mean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average_age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mean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74843EC1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0685625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Comparing response in treatment groups</w:t>
      </w:r>
    </w:p>
    <w:p w14:paraId="0DBD8FCD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cmpr_responses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%&gt;%</w:t>
      </w:r>
    </w:p>
    <w:p w14:paraId="3C427474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2F7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filter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2F7A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"Y"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%&gt;%</w:t>
      </w:r>
    </w:p>
    <w:p w14:paraId="5C7A5CD5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group_by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treatment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D483749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cmpr_responses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%&gt;%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summarise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no_of_responses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</w:t>
      </w:r>
    </w:p>
    <w:p w14:paraId="14E90AFD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B57521E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Comparing protein concentration between responders and non responders</w:t>
      </w:r>
    </w:p>
    <w:p w14:paraId="6FF62A4D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cmpr_protein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&lt;-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clinical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%&gt;%</w:t>
      </w:r>
    </w:p>
    <w:p w14:paraId="51C1D145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group_by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%&gt;%</w:t>
      </w:r>
    </w:p>
    <w:p w14:paraId="1386234E" w14:textId="77777777" w:rsidR="002F7A22" w:rsidRPr="002F7A22" w:rsidRDefault="002F7A22" w:rsidP="002F7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summarise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avg_concentration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F7A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mean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2F7A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concentration</w:t>
      </w:r>
      <w:r w:rsidRPr="002F7A2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4A6E0C48" w14:textId="2A3CCF20" w:rsidR="00BE2492" w:rsidRDefault="00351B6D" w:rsidP="00BE2492">
      <w:pPr>
        <w:pStyle w:val="Heading1"/>
        <w:tabs>
          <w:tab w:val="left" w:pos="3525"/>
        </w:tabs>
      </w:pPr>
      <w:r>
        <w:t>Visualizing</w:t>
      </w:r>
    </w:p>
    <w:p w14:paraId="5C9E7DE9" w14:textId="05CC6A14" w:rsidR="00F04868" w:rsidRPr="00F04868" w:rsidRDefault="00F04868" w:rsidP="00F04868">
      <w:r w:rsidRPr="000E003F">
        <w:rPr>
          <w:rFonts w:ascii="Times New Roman" w:hAnsi="Times New Roman" w:cs="Times New Roman"/>
        </w:rPr>
        <w:t xml:space="preserve">The box plot below shows the age difference between responders and non-responders and is coloured by </w:t>
      </w:r>
      <w:r w:rsidR="000E003F" w:rsidRPr="000E003F">
        <w:rPr>
          <w:rFonts w:ascii="Times New Roman" w:hAnsi="Times New Roman" w:cs="Times New Roman"/>
        </w:rPr>
        <w:t>its</w:t>
      </w:r>
      <w:r w:rsidRPr="000E003F">
        <w:rPr>
          <w:rFonts w:ascii="Times New Roman" w:hAnsi="Times New Roman" w:cs="Times New Roman"/>
        </w:rPr>
        <w:t xml:space="preserve"> treatment group. The boxplot shows that non-responders had a similar median age suggesting that the efficacy of both drugs are not linked to age. However, the median age for a responder using </w:t>
      </w:r>
      <w:r>
        <w:rPr>
          <w:rFonts w:ascii="Times New Roman" w:hAnsi="Times New Roman" w:cs="Times New Roman"/>
        </w:rPr>
        <w:t xml:space="preserve">Miraculon-A </w:t>
      </w:r>
      <w:r>
        <w:rPr>
          <w:rFonts w:ascii="Times New Roman" w:hAnsi="Times New Roman" w:cs="Times New Roman"/>
        </w:rPr>
        <w:lastRenderedPageBreak/>
        <w:t xml:space="preserve">drug is noticeably higher compared to the control group’s median. This may suggest that </w:t>
      </w:r>
      <w:r w:rsidR="00FA348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87CBEA" wp14:editId="197B5952">
                <wp:simplePos x="0" y="0"/>
                <wp:positionH relativeFrom="column">
                  <wp:posOffset>-28575</wp:posOffset>
                </wp:positionH>
                <wp:positionV relativeFrom="paragraph">
                  <wp:posOffset>5943600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25134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9E419" w14:textId="225CF9B9" w:rsidR="00FA3489" w:rsidRPr="000E003F" w:rsidRDefault="00FA3489" w:rsidP="00FA348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003F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0E003F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0E003F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0E003F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0E003F" w:rsidRPr="000E003F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0E003F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87CB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468pt;width:46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WXRXJN8AAAAKAQAADwAAAAAAAAAAAAAAAABwBAAAZHJzL2Rvd25yZXYueG1sUEsFBgAA&#10;AAAEAAQA8wAAAHwFAAAAAA==&#10;" stroked="f">
                <v:textbox style="mso-fit-shape-to-text:t" inset="0,0,0,0">
                  <w:txbxContent>
                    <w:p w14:paraId="1B79E419" w14:textId="225CF9B9" w:rsidR="00FA3489" w:rsidRPr="000E003F" w:rsidRDefault="00FA3489" w:rsidP="00FA3489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 w:rsidRPr="000E003F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0E003F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0E003F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0E003F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0E003F" w:rsidRPr="000E003F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0E003F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0CAA0EA" wp14:editId="0DDD98DF">
            <wp:simplePos x="0" y="0"/>
            <wp:positionH relativeFrom="column">
              <wp:posOffset>-28575</wp:posOffset>
            </wp:positionH>
            <wp:positionV relativeFrom="paragraph">
              <wp:posOffset>419100</wp:posOffset>
            </wp:positionV>
            <wp:extent cx="5943600" cy="5467350"/>
            <wp:effectExtent l="0" t="0" r="0" b="0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8320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GSK’s drug may be more effective among older patients.</w:t>
      </w:r>
    </w:p>
    <w:p w14:paraId="0BA212E7" w14:textId="76CE0E3F" w:rsidR="00F04868" w:rsidRPr="00F04868" w:rsidRDefault="00F04868" w:rsidP="00F04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ggplot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cmpr_demo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aes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F0486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F0486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colour</w:t>
      </w:r>
      <w:r w:rsidRPr="00F0486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treatment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)) </w:t>
      </w:r>
      <w:r w:rsidRPr="00F0486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14:paraId="63BBE056" w14:textId="086B5296" w:rsidR="00F04868" w:rsidRPr="00F04868" w:rsidRDefault="00F04868" w:rsidP="00F04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geom_boxplot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  <w:r w:rsidRPr="00F0486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14:paraId="399A3AD4" w14:textId="31E2158F" w:rsidR="00F04868" w:rsidRPr="00F04868" w:rsidRDefault="00F04868" w:rsidP="00F04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geom_smooth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0486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0486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"lm"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F0486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0486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0486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F0486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45BED0A" w14:textId="549125B0" w:rsidR="00BE2492" w:rsidRDefault="00BE2492" w:rsidP="002F7A22"/>
    <w:p w14:paraId="3D2E32E5" w14:textId="77777777" w:rsidR="00390EE7" w:rsidRDefault="00390EE7" w:rsidP="00FA3489">
      <w:pPr>
        <w:keepNext/>
        <w:rPr>
          <w:rFonts w:ascii="Times New Roman" w:hAnsi="Times New Roman" w:cs="Times New Roman"/>
        </w:rPr>
      </w:pPr>
      <w:r w:rsidRPr="00390EE7">
        <w:rPr>
          <w:rFonts w:ascii="Times New Roman" w:hAnsi="Times New Roman" w:cs="Times New Roman"/>
        </w:rPr>
        <w:t xml:space="preserve">Figure 2 shows the box plots of BMI for responders and non-responders. Non-responders had similar box plots. On average, responders in the control group had a slightly higher BMI than responders in the GSK </w:t>
      </w:r>
      <w:r w:rsidRPr="00390EE7">
        <w:rPr>
          <w:rFonts w:ascii="Times New Roman" w:hAnsi="Times New Roman" w:cs="Times New Roman"/>
        </w:rPr>
        <w:lastRenderedPageBreak/>
        <w:t>drug group. However, the difference was very slight, and it is therefore reasonable to assume that BMI does not affect efficacy.</w:t>
      </w:r>
    </w:p>
    <w:p w14:paraId="6F3A74A2" w14:textId="77777777" w:rsidR="00390EE7" w:rsidRDefault="00390EE7" w:rsidP="00FA3489">
      <w:pPr>
        <w:keepNext/>
        <w:rPr>
          <w:rFonts w:ascii="Times New Roman" w:hAnsi="Times New Roman" w:cs="Times New Roman"/>
        </w:rPr>
      </w:pPr>
    </w:p>
    <w:p w14:paraId="0B0BCE46" w14:textId="3A6B3071" w:rsidR="00FA3489" w:rsidRDefault="00FA3489" w:rsidP="00FA3489">
      <w:pPr>
        <w:keepNext/>
      </w:pPr>
      <w:r>
        <w:rPr>
          <w:noProof/>
        </w:rPr>
        <w:drawing>
          <wp:inline distT="0" distB="0" distL="0" distR="0" wp14:anchorId="41A0F78A" wp14:editId="19542B1A">
            <wp:extent cx="5943600" cy="5467350"/>
            <wp:effectExtent l="0" t="0" r="0" b="0"/>
            <wp:docPr id="698777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A393" w14:textId="1BFD9568" w:rsidR="00FA3489" w:rsidRPr="000E003F" w:rsidRDefault="00FA3489" w:rsidP="00FA3489">
      <w:pPr>
        <w:pStyle w:val="Caption"/>
        <w:rPr>
          <w:rFonts w:ascii="Times New Roman" w:hAnsi="Times New Roman" w:cs="Times New Roman"/>
        </w:rPr>
      </w:pPr>
      <w:r w:rsidRPr="000E003F">
        <w:rPr>
          <w:rFonts w:ascii="Times New Roman" w:hAnsi="Times New Roman" w:cs="Times New Roman"/>
        </w:rPr>
        <w:t xml:space="preserve">Figure </w:t>
      </w:r>
      <w:r w:rsidRPr="000E003F">
        <w:rPr>
          <w:rFonts w:ascii="Times New Roman" w:hAnsi="Times New Roman" w:cs="Times New Roman"/>
        </w:rPr>
        <w:fldChar w:fldCharType="begin"/>
      </w:r>
      <w:r w:rsidRPr="000E003F">
        <w:rPr>
          <w:rFonts w:ascii="Times New Roman" w:hAnsi="Times New Roman" w:cs="Times New Roman"/>
        </w:rPr>
        <w:instrText xml:space="preserve"> SEQ Figure \* ARABIC </w:instrText>
      </w:r>
      <w:r w:rsidRPr="000E003F">
        <w:rPr>
          <w:rFonts w:ascii="Times New Roman" w:hAnsi="Times New Roman" w:cs="Times New Roman"/>
        </w:rPr>
        <w:fldChar w:fldCharType="separate"/>
      </w:r>
      <w:r w:rsidR="000E003F" w:rsidRPr="000E003F">
        <w:rPr>
          <w:rFonts w:ascii="Times New Roman" w:hAnsi="Times New Roman" w:cs="Times New Roman"/>
          <w:noProof/>
        </w:rPr>
        <w:t>2</w:t>
      </w:r>
      <w:r w:rsidRPr="000E003F">
        <w:rPr>
          <w:rFonts w:ascii="Times New Roman" w:hAnsi="Times New Roman" w:cs="Times New Roman"/>
        </w:rPr>
        <w:fldChar w:fldCharType="end"/>
      </w:r>
    </w:p>
    <w:p w14:paraId="44474E94" w14:textId="77777777" w:rsidR="00C02D21" w:rsidRPr="00C02D21" w:rsidRDefault="00C02D21" w:rsidP="00C0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ggplot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cmpr_demo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aes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BMI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colour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treatment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)) 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14:paraId="7E9E50F0" w14:textId="77777777" w:rsidR="00C02D21" w:rsidRPr="00C02D21" w:rsidRDefault="00C02D21" w:rsidP="00C0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geom_boxplot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14:paraId="1A940AD7" w14:textId="77777777" w:rsidR="00C02D21" w:rsidRPr="00C02D21" w:rsidRDefault="00C02D21" w:rsidP="00C0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geom_smooth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02D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lm</w:t>
      </w:r>
      <w:proofErr w:type="spellEnd"/>
      <w:r w:rsidRPr="00C02D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22BD7F5A" w14:textId="77777777" w:rsidR="00C02D21" w:rsidRDefault="00C02D21" w:rsidP="000E003F">
      <w:pPr>
        <w:keepNext/>
        <w:rPr>
          <w:rFonts w:ascii="Times New Roman" w:hAnsi="Times New Roman" w:cs="Times New Roman"/>
        </w:rPr>
      </w:pPr>
    </w:p>
    <w:p w14:paraId="7CC69211" w14:textId="7D4031A5" w:rsidR="00390EE7" w:rsidRDefault="00390EE7" w:rsidP="000E003F">
      <w:pPr>
        <w:keepNext/>
        <w:rPr>
          <w:rFonts w:ascii="Times New Roman" w:hAnsi="Times New Roman" w:cs="Times New Roman"/>
        </w:rPr>
      </w:pPr>
      <w:r w:rsidRPr="00390EE7">
        <w:rPr>
          <w:rFonts w:ascii="Times New Roman" w:hAnsi="Times New Roman" w:cs="Times New Roman"/>
        </w:rPr>
        <w:t xml:space="preserve">Figure 3 shows the protein concentration disparity among responders and non-responders: there is a significant difference between the two groups. On average, responders had a protein concentration of </w:t>
      </w:r>
      <w:r w:rsidRPr="00390EE7">
        <w:rPr>
          <w:rFonts w:ascii="Times New Roman" w:hAnsi="Times New Roman" w:cs="Times New Roman"/>
        </w:rPr>
        <w:lastRenderedPageBreak/>
        <w:t>~105 ug/L. As mentioned previously, protein concentration seems to be an important factor determining the efficacy of the drugs.</w:t>
      </w:r>
    </w:p>
    <w:p w14:paraId="350A6858" w14:textId="2B9395F9" w:rsidR="000E003F" w:rsidRDefault="000E003F" w:rsidP="000E003F">
      <w:pPr>
        <w:keepNext/>
      </w:pPr>
      <w:r>
        <w:rPr>
          <w:noProof/>
        </w:rPr>
        <w:drawing>
          <wp:inline distT="0" distB="0" distL="0" distR="0" wp14:anchorId="3480D367" wp14:editId="2F79FC01">
            <wp:extent cx="5943600" cy="5467350"/>
            <wp:effectExtent l="0" t="0" r="0" b="0"/>
            <wp:docPr id="1286277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45FD" w14:textId="302F5CD7" w:rsidR="00FA3489" w:rsidRDefault="000E003F" w:rsidP="000E003F">
      <w:pPr>
        <w:pStyle w:val="Caption"/>
        <w:rPr>
          <w:rFonts w:ascii="Times New Roman" w:hAnsi="Times New Roman" w:cs="Times New Roman"/>
        </w:rPr>
      </w:pPr>
      <w:r w:rsidRPr="000E003F">
        <w:rPr>
          <w:rFonts w:ascii="Times New Roman" w:hAnsi="Times New Roman" w:cs="Times New Roman"/>
        </w:rPr>
        <w:t xml:space="preserve">Figure </w:t>
      </w:r>
      <w:r w:rsidRPr="000E003F">
        <w:rPr>
          <w:rFonts w:ascii="Times New Roman" w:hAnsi="Times New Roman" w:cs="Times New Roman"/>
        </w:rPr>
        <w:fldChar w:fldCharType="begin"/>
      </w:r>
      <w:r w:rsidRPr="000E003F">
        <w:rPr>
          <w:rFonts w:ascii="Times New Roman" w:hAnsi="Times New Roman" w:cs="Times New Roman"/>
        </w:rPr>
        <w:instrText xml:space="preserve"> SEQ Figure \* ARABIC </w:instrText>
      </w:r>
      <w:r w:rsidRPr="000E003F">
        <w:rPr>
          <w:rFonts w:ascii="Times New Roman" w:hAnsi="Times New Roman" w:cs="Times New Roman"/>
        </w:rPr>
        <w:fldChar w:fldCharType="separate"/>
      </w:r>
      <w:r w:rsidRPr="000E003F">
        <w:rPr>
          <w:rFonts w:ascii="Times New Roman" w:hAnsi="Times New Roman" w:cs="Times New Roman"/>
          <w:noProof/>
        </w:rPr>
        <w:t>3</w:t>
      </w:r>
      <w:r w:rsidRPr="000E003F">
        <w:rPr>
          <w:rFonts w:ascii="Times New Roman" w:hAnsi="Times New Roman" w:cs="Times New Roman"/>
        </w:rPr>
        <w:fldChar w:fldCharType="end"/>
      </w:r>
    </w:p>
    <w:p w14:paraId="6759553A" w14:textId="77777777" w:rsidR="00C02D21" w:rsidRPr="00C02D21" w:rsidRDefault="00C02D21" w:rsidP="00C0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ggplot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cmpr_demo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aes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concentration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colour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treatment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)) 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14:paraId="69278263" w14:textId="77777777" w:rsidR="00C02D21" w:rsidRPr="00C02D21" w:rsidRDefault="00C02D21" w:rsidP="00C0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geom_boxplot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14:paraId="2BC1F485" w14:textId="77777777" w:rsidR="00C02D21" w:rsidRPr="00C02D21" w:rsidRDefault="00C02D21" w:rsidP="00C02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geom_smooth</w:t>
      </w:r>
      <w:proofErr w:type="spellEnd"/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02D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lm</w:t>
      </w:r>
      <w:proofErr w:type="spellEnd"/>
      <w:r w:rsidRPr="00C02D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02D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02D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C02D2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B1AE0CC" w14:textId="2B814297" w:rsidR="000F6152" w:rsidRDefault="000F6152" w:rsidP="000F6152">
      <w:pPr>
        <w:pStyle w:val="Heading1"/>
        <w:tabs>
          <w:tab w:val="left" w:pos="3525"/>
        </w:tabs>
      </w:pPr>
      <w:r>
        <w:t>Conclusion</w:t>
      </w:r>
    </w:p>
    <w:p w14:paraId="11EE0E4E" w14:textId="6E647232" w:rsidR="000E003F" w:rsidRPr="000E003F" w:rsidRDefault="000F6152" w:rsidP="00390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a protein concentration of 105ug/L may improve the efficacy of the drug. Additionally, GSK’s drug </w:t>
      </w:r>
      <w:proofErr w:type="spellStart"/>
      <w:r>
        <w:rPr>
          <w:rFonts w:ascii="Times New Roman" w:hAnsi="Times New Roman" w:cs="Times New Roman"/>
        </w:rPr>
        <w:t>Miraculon</w:t>
      </w:r>
      <w:proofErr w:type="spellEnd"/>
      <w:r>
        <w:rPr>
          <w:rFonts w:ascii="Times New Roman" w:hAnsi="Times New Roman" w:cs="Times New Roman"/>
        </w:rPr>
        <w:t>-A</w:t>
      </w:r>
      <w:r>
        <w:rPr>
          <w:rFonts w:ascii="Times New Roman" w:hAnsi="Times New Roman" w:cs="Times New Roman"/>
        </w:rPr>
        <w:t xml:space="preserve"> had over 60% more responses compared to the control group suggesting that the drug may be more effective than the control drug. </w:t>
      </w:r>
    </w:p>
    <w:sectPr w:rsidR="000E003F" w:rsidRPr="000E003F" w:rsidSect="00855982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5C27" w14:textId="77777777" w:rsidR="00FC5583" w:rsidRDefault="00FC5583" w:rsidP="00855982">
      <w:pPr>
        <w:spacing w:after="0" w:line="240" w:lineRule="auto"/>
      </w:pPr>
      <w:r>
        <w:separator/>
      </w:r>
    </w:p>
  </w:endnote>
  <w:endnote w:type="continuationSeparator" w:id="0">
    <w:p w14:paraId="71D95F7F" w14:textId="77777777" w:rsidR="00FC5583" w:rsidRDefault="00FC558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4A443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8412" w14:textId="77777777" w:rsidR="00FC5583" w:rsidRDefault="00FC5583" w:rsidP="00855982">
      <w:pPr>
        <w:spacing w:after="0" w:line="240" w:lineRule="auto"/>
      </w:pPr>
      <w:r>
        <w:separator/>
      </w:r>
    </w:p>
  </w:footnote>
  <w:footnote w:type="continuationSeparator" w:id="0">
    <w:p w14:paraId="7DA28B13" w14:textId="77777777" w:rsidR="00FC5583" w:rsidRDefault="00FC5583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6932" w14:textId="0DF8E326" w:rsidR="009B3B40" w:rsidRDefault="009B3B40">
    <w:pPr>
      <w:pStyle w:val="Header"/>
    </w:pPr>
    <w:r>
      <w:t>Rahat Ali | 05/2023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D430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82713891">
    <w:abstractNumId w:val="14"/>
  </w:num>
  <w:num w:numId="2" w16cid:durableId="9240686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7239877">
    <w:abstractNumId w:val="14"/>
  </w:num>
  <w:num w:numId="4" w16cid:durableId="1154760241">
    <w:abstractNumId w:val="14"/>
  </w:num>
  <w:num w:numId="5" w16cid:durableId="1714957487">
    <w:abstractNumId w:val="14"/>
  </w:num>
  <w:num w:numId="6" w16cid:durableId="1427112785">
    <w:abstractNumId w:val="14"/>
  </w:num>
  <w:num w:numId="7" w16cid:durableId="1557080733">
    <w:abstractNumId w:val="14"/>
  </w:num>
  <w:num w:numId="8" w16cid:durableId="1591549487">
    <w:abstractNumId w:val="14"/>
  </w:num>
  <w:num w:numId="9" w16cid:durableId="109470344">
    <w:abstractNumId w:val="14"/>
  </w:num>
  <w:num w:numId="10" w16cid:durableId="1014847271">
    <w:abstractNumId w:val="14"/>
  </w:num>
  <w:num w:numId="11" w16cid:durableId="785929615">
    <w:abstractNumId w:val="14"/>
  </w:num>
  <w:num w:numId="12" w16cid:durableId="249198432">
    <w:abstractNumId w:val="14"/>
  </w:num>
  <w:num w:numId="13" w16cid:durableId="1608197207">
    <w:abstractNumId w:val="10"/>
  </w:num>
  <w:num w:numId="14" w16cid:durableId="1619532588">
    <w:abstractNumId w:val="17"/>
  </w:num>
  <w:num w:numId="15" w16cid:durableId="140973291">
    <w:abstractNumId w:val="11"/>
  </w:num>
  <w:num w:numId="16" w16cid:durableId="460806246">
    <w:abstractNumId w:val="12"/>
  </w:num>
  <w:num w:numId="17" w16cid:durableId="209996212">
    <w:abstractNumId w:val="9"/>
  </w:num>
  <w:num w:numId="18" w16cid:durableId="1468277268">
    <w:abstractNumId w:val="7"/>
  </w:num>
  <w:num w:numId="19" w16cid:durableId="1624967402">
    <w:abstractNumId w:val="6"/>
  </w:num>
  <w:num w:numId="20" w16cid:durableId="1587886571">
    <w:abstractNumId w:val="5"/>
  </w:num>
  <w:num w:numId="21" w16cid:durableId="1637685689">
    <w:abstractNumId w:val="4"/>
  </w:num>
  <w:num w:numId="22" w16cid:durableId="1920171022">
    <w:abstractNumId w:val="8"/>
  </w:num>
  <w:num w:numId="23" w16cid:durableId="1716192898">
    <w:abstractNumId w:val="3"/>
  </w:num>
  <w:num w:numId="24" w16cid:durableId="1603102929">
    <w:abstractNumId w:val="2"/>
  </w:num>
  <w:num w:numId="25" w16cid:durableId="314527867">
    <w:abstractNumId w:val="1"/>
  </w:num>
  <w:num w:numId="26" w16cid:durableId="1587691033">
    <w:abstractNumId w:val="0"/>
  </w:num>
  <w:num w:numId="27" w16cid:durableId="317619061">
    <w:abstractNumId w:val="13"/>
  </w:num>
  <w:num w:numId="28" w16cid:durableId="1393120673">
    <w:abstractNumId w:val="15"/>
  </w:num>
  <w:num w:numId="29" w16cid:durableId="1432894710">
    <w:abstractNumId w:val="16"/>
  </w:num>
  <w:num w:numId="30" w16cid:durableId="15946246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40"/>
    <w:rsid w:val="000E003F"/>
    <w:rsid w:val="000F6152"/>
    <w:rsid w:val="001D4362"/>
    <w:rsid w:val="002957D5"/>
    <w:rsid w:val="002F7A22"/>
    <w:rsid w:val="00351B6D"/>
    <w:rsid w:val="00390EE7"/>
    <w:rsid w:val="0048625C"/>
    <w:rsid w:val="006B28CC"/>
    <w:rsid w:val="007833A7"/>
    <w:rsid w:val="00855982"/>
    <w:rsid w:val="008E76BD"/>
    <w:rsid w:val="009B3B40"/>
    <w:rsid w:val="00A10484"/>
    <w:rsid w:val="00A23349"/>
    <w:rsid w:val="00BE2492"/>
    <w:rsid w:val="00C02D21"/>
    <w:rsid w:val="00CE2A10"/>
    <w:rsid w:val="00F04868"/>
    <w:rsid w:val="00FA3489"/>
    <w:rsid w:val="00FC558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94B8"/>
  <w15:chartTrackingRefBased/>
  <w15:docId w15:val="{1E78A519-2DA9-4282-A28B-1F6697C7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Revision">
    <w:name w:val="Revision"/>
    <w:hidden/>
    <w:uiPriority w:val="99"/>
    <w:semiHidden/>
    <w:rsid w:val="000E003F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0E003F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r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239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Rahat Ali</dc:creator>
  <cp:lastModifiedBy>Rahat Ali</cp:lastModifiedBy>
  <cp:revision>6</cp:revision>
  <dcterms:created xsi:type="dcterms:W3CDTF">2023-05-10T12:53:00Z</dcterms:created>
  <dcterms:modified xsi:type="dcterms:W3CDTF">2023-05-10T17:43:00Z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