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5" w:rsidRDefault="00590E9C" w:rsidP="00590E9C">
      <w:pPr>
        <w:jc w:val="center"/>
      </w:pPr>
      <w:r>
        <w:t>Hasil laporan designn ui/ux pertemuan 10</w:t>
      </w:r>
    </w:p>
    <w:p w:rsidR="00590E9C" w:rsidRDefault="00590E9C" w:rsidP="00590E9C"/>
    <w:p w:rsidR="00590E9C" w:rsidRDefault="00590E9C" w:rsidP="00590E9C">
      <w:r>
        <w:t xml:space="preserve">Nama : R.P.A. Lexy Mangku Saputra </w:t>
      </w:r>
    </w:p>
    <w:p w:rsidR="00590E9C" w:rsidRDefault="00590E9C" w:rsidP="00590E9C">
      <w:r>
        <w:t>Nrp : 3123522012</w:t>
      </w:r>
    </w:p>
    <w:p w:rsidR="00590E9C" w:rsidRDefault="00590E9C" w:rsidP="00590E9C"/>
    <w:p w:rsidR="00590E9C" w:rsidRDefault="00590E9C" w:rsidP="00590E9C">
      <w:pPr>
        <w:pStyle w:val="ListParagraph"/>
        <w:numPr>
          <w:ilvl w:val="0"/>
          <w:numId w:val="1"/>
        </w:numPr>
      </w:pPr>
      <w:r>
        <w:t xml:space="preserve">Aplikasi/situs </w:t>
      </w:r>
    </w:p>
    <w:p w:rsidR="00590E9C" w:rsidRDefault="00590E9C" w:rsidP="00590E9C">
      <w:pPr>
        <w:pStyle w:val="ListParagraph"/>
        <w:numPr>
          <w:ilvl w:val="0"/>
          <w:numId w:val="2"/>
        </w:numPr>
      </w:pPr>
      <w:r>
        <w:t>Nama aplikasi : tokopedia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877"/>
        <w:gridCol w:w="2923"/>
      </w:tblGrid>
      <w:tr w:rsidR="001946DE" w:rsidTr="001946DE">
        <w:tc>
          <w:tcPr>
            <w:tcW w:w="3116" w:type="dxa"/>
          </w:tcPr>
          <w:p w:rsidR="001946DE" w:rsidRDefault="001946DE" w:rsidP="00590E9C">
            <w:r>
              <w:t xml:space="preserve">Hukuum ux </w:t>
            </w:r>
          </w:p>
        </w:tc>
        <w:tc>
          <w:tcPr>
            <w:tcW w:w="3117" w:type="dxa"/>
          </w:tcPr>
          <w:p w:rsidR="001946DE" w:rsidRDefault="001946DE" w:rsidP="00590E9C">
            <w:r>
              <w:t>Definisi singkat</w:t>
            </w:r>
          </w:p>
        </w:tc>
        <w:tc>
          <w:tcPr>
            <w:tcW w:w="3117" w:type="dxa"/>
          </w:tcPr>
          <w:p w:rsidR="001946DE" w:rsidRDefault="001946DE" w:rsidP="00590E9C"/>
        </w:tc>
      </w:tr>
      <w:tr w:rsidR="001946DE" w:rsidTr="001946DE">
        <w:tc>
          <w:tcPr>
            <w:tcW w:w="3116" w:type="dxa"/>
          </w:tcPr>
          <w:p w:rsidR="001946DE" w:rsidRDefault="001946DE" w:rsidP="00590E9C">
            <w:r>
              <w:t>Hukum Fitts (Fitts’s Law)</w:t>
            </w:r>
          </w:p>
        </w:tc>
        <w:tc>
          <w:tcPr>
            <w:tcW w:w="3117" w:type="dxa"/>
          </w:tcPr>
          <w:p w:rsidR="001946DE" w:rsidRDefault="001946DE" w:rsidP="001946DE">
            <w:r>
              <w:t>Waktu untuk mencapai target bergantung pada ukuran dan jarak target.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>Tombol “Beli Sekarang” pada halaman produk diperbesar dan ditempatkan dekat elemen deskripsi, memudahkan klik cepat.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590E9C">
            <w:r>
              <w:t>Hukum Hick (Hick’s Law)</w:t>
            </w:r>
          </w:p>
        </w:tc>
        <w:tc>
          <w:tcPr>
            <w:tcW w:w="3117" w:type="dxa"/>
          </w:tcPr>
          <w:p w:rsidR="001946DE" w:rsidRDefault="001946DE" w:rsidP="001946DE">
            <w:r>
              <w:t>Waktu pengambilan keputusan meningkat seiring bertambahnya pilihan.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>Menu kategori disederhanakan menjadi beberapa kategori besar dengan submenu, sehingga pengguna cepat memilih jenis produk.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590E9C">
            <w:r>
              <w:t>Hukum Miller (Miller’s Law)</w:t>
            </w:r>
          </w:p>
        </w:tc>
        <w:tc>
          <w:tcPr>
            <w:tcW w:w="3117" w:type="dxa"/>
          </w:tcPr>
          <w:p w:rsidR="001946DE" w:rsidRDefault="001946DE" w:rsidP="001946DE">
            <w:r>
              <w:t>Kapasitas memori jangka pendek terbatas (7±2 item).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Daftar filter hanya menampilkan maksimal 5–7 opsi populer sebelum menekan “Lihat Semua”, mengurangi beban kognitif.</w:t>
            </w:r>
          </w:p>
          <w:p w:rsidR="001946DE" w:rsidRDefault="001946DE" w:rsidP="00590E9C"/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t>Efek Zeigarnik (Zeigarnik Effect)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Tugas yang belum selesai lebih mudah diingat oleh pengguna.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>Progress bar di proses checkout menampilkan langkah (Keranjang → Alamat → Pembayaran → Selesai), memotivasi pengguna menyelesaikan transaksi.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t>Tesler’s Law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Kompleksitas suatu sistem tidak dapat dihapus, hanya dapat dipindahkan dari satu tempat ke tempat lain.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 xml:space="preserve">Fitur “Favorit” menyembunyikan kompleksitas pengaturan notifikasi: Tokopedia mengelola backend notifikasi sehingga </w:t>
            </w:r>
            <w:r>
              <w:lastRenderedPageBreak/>
              <w:t>antarmuka tetap sederhana.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lastRenderedPageBreak/>
              <w:t>Pareto Principle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80% efek disebabkan oleh 20% faktor.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>Dashboard rekomendasi menampilkan 20% produk terlaris di halaman depan, menghasilkan 80% konversi penjualan.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t>Jakob’s Law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Pengguna mengharapkan produk bekerja mirip produk lain yang telah mereka gunakan.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>Desain keranjang belanja dan tombol checkout serupa dengan e</w:t>
            </w:r>
            <w:r>
              <w:noBreakHyphen/>
              <w:t>commerce lain (tata letak ikon, label “Tambah ke Keranjang”), mengurangi kurva belajar.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t>Postel’s Law (Robustness Principle)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590E9C">
            <w:r>
              <w:t>“Be liberal in what you accept, and conservative in what you send.”</w:t>
            </w:r>
          </w:p>
        </w:tc>
        <w:tc>
          <w:tcPr>
            <w:tcW w:w="3117" w:type="dxa"/>
          </w:tcPr>
          <w:p w:rsidR="001946DE" w:rsidRDefault="001946DE" w:rsidP="00590E9C">
            <w:r>
              <w:t>Form input alamat menerima berbagai format penulisan (jalan, jl., jln.), lalu memproses dan memformat ulang menjadi format standar.</w:t>
            </w:r>
          </w:p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t>Aesthetic-Usability Effect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Pengguna lebih cenderung memaafkan masalah kegunaan pada antarmuka yang estetis.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Skema warna hijau dan tata letak bersih memberikan kesan profesional, membuat minor bug UI kurang mengganggu.</w:t>
            </w:r>
          </w:p>
          <w:p w:rsidR="001946DE" w:rsidRDefault="001946DE" w:rsidP="00590E9C"/>
        </w:tc>
      </w:tr>
      <w:tr w:rsidR="001946DE" w:rsidTr="001946DE">
        <w:tc>
          <w:tcPr>
            <w:tcW w:w="3116" w:type="dxa"/>
          </w:tcPr>
          <w:p w:rsidR="001946DE" w:rsidRDefault="001946DE" w:rsidP="001946DE">
            <w:r>
              <w:t>Law of Proximity (Gestalt Principle)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Elemen yang berdekatan secara visual dianggap sebagai satu kelompok.</w:t>
            </w:r>
          </w:p>
          <w:p w:rsidR="001946DE" w:rsidRDefault="001946DE" w:rsidP="00590E9C"/>
        </w:tc>
        <w:tc>
          <w:tcPr>
            <w:tcW w:w="3117" w:type="dxa"/>
          </w:tcPr>
          <w:p w:rsidR="001946DE" w:rsidRDefault="001946DE" w:rsidP="001946DE">
            <w:r>
              <w:t>Item produk, nama, dan harga dikelompokkan dalam kartu dengan padding konsisten, memudahkan pemindaian cepat.</w:t>
            </w:r>
          </w:p>
          <w:p w:rsidR="001946DE" w:rsidRDefault="001946DE" w:rsidP="00590E9C"/>
        </w:tc>
      </w:tr>
    </w:tbl>
    <w:p w:rsidR="001946DE" w:rsidRDefault="001946DE" w:rsidP="001946DE"/>
    <w:p w:rsidR="007F1C9A" w:rsidRDefault="001946DE" w:rsidP="007F1C9A">
      <w:pPr>
        <w:pStyle w:val="ListParagraph"/>
        <w:numPr>
          <w:ilvl w:val="0"/>
          <w:numId w:val="1"/>
        </w:numPr>
      </w:pPr>
      <w:r>
        <w:t xml:space="preserve">Memberi rekomendasi perbaikan </w:t>
      </w:r>
      <w:r w:rsidR="000F1506">
        <w:t xml:space="preserve">termasuk identifikasi masalahnya </w:t>
      </w:r>
      <w:bookmarkStart w:id="0" w:name="_GoBack"/>
      <w:bookmarkEnd w:id="0"/>
    </w:p>
    <w:p w:rsidR="007F1C9A" w:rsidRDefault="007F1C9A" w:rsidP="007F1C9A">
      <w:pPr>
        <w:pStyle w:val="ListParagraph"/>
      </w:pPr>
      <w:r w:rsidRPr="007F1C9A">
        <w:lastRenderedPageBreak/>
        <w:drawing>
          <wp:inline distT="0" distB="0" distL="0" distR="0" wp14:anchorId="477CC29B" wp14:editId="4F9A6FC1">
            <wp:extent cx="1971950" cy="38295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9A" w:rsidRDefault="007F1C9A" w:rsidP="007F1C9A">
      <w:pPr>
        <w:pStyle w:val="ListParagraph"/>
      </w:pPr>
      <w:r>
        <w:t>Ketika membuka halaman “Flash Sale” atau “Promo Hari Ini”, sering muncul layar kosong sebelum konten tampil tanpa skeleton screen atau progress bar</w:t>
      </w:r>
    </w:p>
    <w:p w:rsidR="007F1C9A" w:rsidRDefault="007F1C9A" w:rsidP="007F1C9A">
      <w:pPr>
        <w:pStyle w:val="ListParagraph"/>
      </w:pPr>
      <w:r>
        <w:t xml:space="preserve">Rekom perbaiikan : </w:t>
      </w:r>
      <w:r w:rsidRPr="007F1C9A">
        <w:t xml:space="preserve">Tambahkan </w:t>
      </w:r>
      <w:r w:rsidRPr="007F1C9A">
        <w:rPr>
          <w:rStyle w:val="Strong"/>
          <w:b w:val="0"/>
        </w:rPr>
        <w:t>timeout error handler</w:t>
      </w:r>
      <w:r>
        <w:t xml:space="preserve"> dengan pesan “Ups, terjadi gangguan koneksi. Ketuk untuk muat ulang.”</w:t>
      </w:r>
    </w:p>
    <w:p w:rsidR="000F1506" w:rsidRDefault="000F1506" w:rsidP="007F1C9A">
      <w:pPr>
        <w:pStyle w:val="ListParagraph"/>
      </w:pPr>
    </w:p>
    <w:p w:rsidR="000F1506" w:rsidRDefault="000F1506" w:rsidP="007F1C9A">
      <w:pPr>
        <w:pStyle w:val="ListParagraph"/>
      </w:pPr>
      <w:r w:rsidRPr="000F1506">
        <w:lastRenderedPageBreak/>
        <w:drawing>
          <wp:inline distT="0" distB="0" distL="0" distR="0" wp14:anchorId="1DEB7C1B" wp14:editId="4CAC1683">
            <wp:extent cx="1924319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06" w:rsidRDefault="000F1506" w:rsidP="007F1C9A">
      <w:pPr>
        <w:pStyle w:val="ListParagraph"/>
      </w:pPr>
      <w:r>
        <w:t>Saat memilih metode pembayaran di checkout, jika ingin mengganti dari GoPay ke OVO, pengguna harus kembali ke langkah sebelumnya—tidak bisa langsung di dropdown yang sama</w:t>
      </w:r>
      <w:r>
        <w:t xml:space="preserve"> </w:t>
      </w:r>
    </w:p>
    <w:p w:rsidR="000F1506" w:rsidRPr="000F1506" w:rsidRDefault="000F1506" w:rsidP="000F1506">
      <w:pPr>
        <w:jc w:val="both"/>
      </w:pPr>
      <w:r>
        <w:tab/>
      </w:r>
      <w:r w:rsidRPr="000F1506">
        <w:t xml:space="preserve">Rekom perbaikan : </w:t>
      </w:r>
      <w:r w:rsidRPr="000F1506">
        <w:t xml:space="preserve">Gabungkan pilihan metode pembayaran dalam </w:t>
      </w:r>
      <w:r w:rsidRPr="000F1506">
        <w:rPr>
          <w:rStyle w:val="Strong"/>
          <w:b w:val="0"/>
        </w:rPr>
        <w:t>single dropdown</w:t>
      </w:r>
      <w:r w:rsidRPr="000F1506">
        <w:t xml:space="preserve"> yang dapat di-expand langsung pada halaman konfirmasi pembayaran, tanpa harus kembali ke langkah sebelumnya</w:t>
      </w:r>
      <w:r w:rsidRPr="000F1506">
        <w:t xml:space="preserve">, </w:t>
      </w:r>
      <w:r w:rsidRPr="000F1506">
        <w:t xml:space="preserve">Setelah metode diubah, tampilkan </w:t>
      </w:r>
      <w:r w:rsidRPr="000F1506">
        <w:rPr>
          <w:rStyle w:val="Strong"/>
          <w:b w:val="0"/>
        </w:rPr>
        <w:t>preview ringkas</w:t>
      </w:r>
      <w:r w:rsidRPr="000F1506">
        <w:t>: “Anda akan membayar RpX dengan OVO” sebelum konfirmasi akhir</w:t>
      </w:r>
    </w:p>
    <w:sectPr w:rsidR="000F1506" w:rsidRPr="000F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F61"/>
    <w:multiLevelType w:val="hybridMultilevel"/>
    <w:tmpl w:val="B9A8E68A"/>
    <w:lvl w:ilvl="0" w:tplc="6BAAF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F76F25"/>
    <w:multiLevelType w:val="hybridMultilevel"/>
    <w:tmpl w:val="9E442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F28FF"/>
    <w:multiLevelType w:val="hybridMultilevel"/>
    <w:tmpl w:val="671C1E80"/>
    <w:lvl w:ilvl="0" w:tplc="81F4F4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9C"/>
    <w:rsid w:val="000F1506"/>
    <w:rsid w:val="001946DE"/>
    <w:rsid w:val="005065AC"/>
    <w:rsid w:val="00590E9C"/>
    <w:rsid w:val="007F1C9A"/>
    <w:rsid w:val="009D0455"/>
    <w:rsid w:val="00DF28A7"/>
    <w:rsid w:val="00E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6EF01-B8E8-4ADE-A4A9-E2B5BC98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590E9C"/>
    <w:pPr>
      <w:ind w:left="720"/>
      <w:contextualSpacing/>
    </w:pPr>
  </w:style>
  <w:style w:type="table" w:styleId="TableGrid">
    <w:name w:val="Table Grid"/>
    <w:basedOn w:val="TableNormal"/>
    <w:uiPriority w:val="39"/>
    <w:rsid w:val="00194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2025-04-29T06:59:00Z</dcterms:created>
  <dcterms:modified xsi:type="dcterms:W3CDTF">2025-04-29T07:39:00Z</dcterms:modified>
</cp:coreProperties>
</file>