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p>
    <w:p>
      <w:pPr>
        <w:spacing w:before="0" w:after="80"/>
        <w:jc w:val="left"/>
      </w:pPr>
      <w:r>
        <w:rPr>
          <w:rFonts w:ascii="Arial" w:cs="Arial" w:eastAsia="Arial" w:hAnsi="Arial"/>
          <w:b/>
          <w:bCs/>
          <w:color w:val="2D3561"/>
          <w:sz w:val="80"/>
          <w:szCs w:val="80"/>
        </w:rPr>
        <w:t xml:space="preserve">DECIPHER</w:t>
      </w:r>
    </w:p>
    <w:p>
      <w:pPr>
        <w:spacing w:before="0" w:after="400"/>
        <w:jc w:val="left"/>
      </w:pPr>
      <w:r>
        <w:rPr>
          <w:rFonts w:ascii="Arial" w:cs="Arial" w:eastAsia="Arial" w:hAnsi="Arial"/>
          <w:i/>
          <w:iCs/>
          <w:color w:val="6B7A99"/>
          <w:sz w:val="32"/>
          <w:szCs w:val="32"/>
        </w:rPr>
        <w:t xml:space="preserve">Making Experience Drivers Computable</w:t>
      </w:r>
    </w:p>
    <w:p>
      <w:pPr>
        <w:pBdr>
          <w:bottom w:val="single" w:color="2D3561" w:sz="6"/>
        </w:pBdr>
        <w:spacing w:before="0" w:after="0"/>
      </w:pPr>
    </w:p>
    <w:p>
      <w:pPr>
        <w:spacing w:before="300" w:after="200"/>
      </w:pPr>
    </w:p>
    <w:p>
      <w:pPr>
        <w:spacing w:before="0" w:after="120"/>
        <w:jc w:val="left"/>
      </w:pPr>
      <w:r>
        <w:rPr>
          <w:rFonts w:ascii="Arial" w:cs="Arial" w:eastAsia="Arial" w:hAnsi="Arial"/>
          <w:b/>
          <w:bCs/>
          <w:color w:val="1A1A2E"/>
          <w:sz w:val="26"/>
          <w:szCs w:val="26"/>
        </w:rPr>
        <w:t xml:space="preserve">An Architectural Specification</w:t>
      </w:r>
    </w:p>
    <w:p>
      <w:pPr>
        <w:spacing w:before="100" w:after="160" w:line="320" w:lineRule="auto"/>
        <w:jc w:val="left"/>
      </w:pPr>
      <w:r>
        <w:rPr>
          <w:rFonts w:ascii="Arial" w:cs="Arial" w:eastAsia="Arial" w:hAnsi="Arial"/>
          <w:b w:val="false"/>
          <w:bCs w:val="false"/>
          <w:i w:val="false"/>
          <w:iCs w:val="false"/>
          <w:color w:val="6B7A99"/>
          <w:sz w:val="22"/>
          <w:szCs w:val="22"/>
        </w:rPr>
        <w:t xml:space="preserve">This document sets out the complete architecture of DecipherOS — the computational substrate that gives experience drivers permanent identity, queryable state, and executable structure for the first time.</w:t>
      </w:r>
    </w:p>
    <w:p>
      <w:pPr>
        <w:spacing w:before="800" w:after="120"/>
      </w:pPr>
    </w:p>
    <w:p>
      <w:pPr>
        <w:spacing w:before="0" w:after="60"/>
        <w:jc w:val="left"/>
      </w:pPr>
      <w:r>
        <w:rPr>
          <w:rFonts w:ascii="Arial" w:cs="Arial" w:eastAsia="Arial" w:hAnsi="Arial"/>
          <w:b/>
          <w:bCs/>
          <w:color w:val="1A1A2E"/>
          <w:sz w:val="22"/>
          <w:szCs w:val="22"/>
        </w:rPr>
        <w:t xml:space="preserve">Raheem Asghar</w:t>
      </w:r>
    </w:p>
    <w:p>
      <w:pPr>
        <w:spacing w:before="0" w:after="60"/>
        <w:jc w:val="left"/>
      </w:pPr>
      <w:r>
        <w:rPr>
          <w:rFonts w:ascii="Arial" w:cs="Arial" w:eastAsia="Arial" w:hAnsi="Arial"/>
          <w:color w:val="6B7A99"/>
          <w:sz w:val="22"/>
          <w:szCs w:val="22"/>
        </w:rPr>
        <w:t xml:space="preserve">Founder &amp; Architect, Decipher</w:t>
      </w:r>
    </w:p>
    <w:p>
      <w:pPr>
        <w:spacing w:before="0" w:after="60"/>
        <w:jc w:val="left"/>
      </w:pPr>
      <w:r>
        <w:rPr>
          <w:rFonts w:ascii="Arial" w:cs="Arial" w:eastAsia="Arial" w:hAnsi="Arial"/>
          <w:color w:val="6B7A99"/>
          <w:sz w:val="22"/>
          <w:szCs w:val="22"/>
        </w:rPr>
        <w:t xml:space="preserve">2025 — 2026</w:t>
      </w:r>
    </w:p>
    <w:p>
      <w:r>
        <w:br w:type="page"/>
      </w:r>
    </w:p>
    <w:p>
      <w:pPr>
        <w:pStyle w:val="Heading1"/>
        <w:spacing w:before="400" w:after="160"/>
      </w:pPr>
      <w:r>
        <w:rPr>
          <w:rFonts w:ascii="Arial" w:cs="Arial" w:eastAsia="Arial" w:hAnsi="Arial"/>
          <w:b/>
          <w:bCs/>
          <w:color w:val="2D3561"/>
          <w:sz w:val="36"/>
          <w:szCs w:val="36"/>
        </w:rPr>
        <w:t xml:space="preserve">1. The Problem That Has Always Existed</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For more than two decades, organisations have invested heavily in understanding customer experience. They have built Voice of Customer programmes, deployed NPS surveys, tracked sentiment, and produced quarterly dashboards. The machinery of insight has never been more sophisticated.</w:t>
      </w:r>
    </w:p>
    <w:p>
      <w:pPr>
        <w:spacing w:before="60" w:after="60"/>
      </w:pPr>
    </w:p>
    <w:p>
      <w:pPr>
        <w:spacing w:before="100" w:after="160" w:line="320" w:lineRule="auto"/>
        <w:jc w:val="left"/>
      </w:pPr>
      <w:r>
        <w:rPr>
          <w:rFonts w:ascii="Arial" w:cs="Arial" w:eastAsia="Arial" w:hAnsi="Arial"/>
          <w:b w:val="false"/>
          <w:bCs w:val="false"/>
          <w:i w:val="false"/>
          <w:iCs w:val="false"/>
          <w:color w:val="1A1A2E"/>
          <w:sz w:val="22"/>
          <w:szCs w:val="22"/>
        </w:rPr>
        <w:t xml:space="preserve">And yet most organisations cannot answer the single question that determines whether any of it matters: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DF0F7"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The Unanswerable Question</w:t>
            </w:r>
          </w:p>
          <w:p>
            <w:pPr>
              <w:spacing w:before="0" w:after="0"/>
            </w:pPr>
            <w:r>
              <w:rPr>
                <w:rFonts w:ascii="Arial" w:cs="Arial" w:eastAsia="Arial" w:hAnsi="Arial"/>
                <w:i/>
                <w:iCs/>
                <w:color w:val="1A1A2E"/>
                <w:sz w:val="20"/>
                <w:szCs w:val="20"/>
              </w:rPr>
              <w:t xml:space="preserve">What did we change last time this driver was under stress — and did it actually work?</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reason they cannot answer it is structural, not analytical. The tools they rely on were built to observe and report. They were never built to remember, act, and learn. Every insight cycle begins from scratch. Every intervention is disconnected from the last. The system has no memory. The organisation does not learn — it repeats.</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specific failure is this: experience drivers — the functional determinants of what customers actually encounter — have never had computational identity. They exist as analyst interpretations, as thematic labels, as entries on a dashboard that resets each quarter. They are named but not defined. They are tracked but not stateful. They are discussed but not executable.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This is not a failure of effort or intelligence. It is a failure of infrastructure. The substrate required to make experience drivers computationally real has never existed.</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is that substrate.</w:t>
      </w:r>
    </w:p>
    <w:p>
      <w:pPr>
        <w:spacing w:before="200" w:after="120"/>
      </w:pPr>
    </w:p>
    <w:p>
      <w:pPr>
        <w:pStyle w:val="Heading1"/>
        <w:spacing w:before="400" w:after="160"/>
      </w:pPr>
      <w:r>
        <w:rPr>
          <w:rFonts w:ascii="Arial" w:cs="Arial" w:eastAsia="Arial" w:hAnsi="Arial"/>
          <w:b/>
          <w:bCs/>
          <w:color w:val="2D3561"/>
          <w:sz w:val="36"/>
          <w:szCs w:val="36"/>
        </w:rPr>
        <w:t xml:space="preserve">2. The Category of Innovation</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It is important to be precise about what kind of work this is, because it is easy to misclassify it.</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is not a CX analytics platform. It is not a sentiment engine. It is not an AI copilot that produces better recommendations. It is not a dashboard with more dimensions. These are all product innovations — improvements within an existing category.</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is infrastructure innovation. It creates a missing computational layer beneath all existing products. The distinction matters because infrastructure and products have different architectures, different adoption paths, and different moats.</w:t>
      </w:r>
    </w:p>
    <w:p>
      <w:pPr>
        <w:spacing w:before="160" w:after="120"/>
      </w:pPr>
    </w:p>
    <w:p>
      <w:pPr>
        <w:pStyle w:val="Heading2"/>
        <w:spacing w:before="320" w:after="120"/>
      </w:pPr>
      <w:r>
        <w:rPr>
          <w:rFonts w:ascii="Arial" w:cs="Arial" w:eastAsia="Arial" w:hAnsi="Arial"/>
          <w:b/>
          <w:bCs/>
          <w:color w:val="0F3460"/>
          <w:sz w:val="28"/>
          <w:szCs w:val="28"/>
        </w:rPr>
        <w:t xml:space="preserve">The Pattern of Foundational Infrastructure</w:t>
      </w:r>
    </w:p>
    <w:p>
      <w:pPr>
        <w:spacing w:before="100" w:after="160" w:line="320" w:lineRule="auto"/>
        <w:jc w:val="left"/>
      </w:pPr>
      <w:r>
        <w:rPr>
          <w:rFonts w:ascii="Arial" w:cs="Arial" w:eastAsia="Arial" w:hAnsi="Arial"/>
          <w:b w:val="false"/>
          <w:bCs w:val="false"/>
          <w:i w:val="false"/>
          <w:iCs w:val="false"/>
          <w:color w:val="1A1A2E"/>
          <w:sz w:val="22"/>
          <w:szCs w:val="22"/>
        </w:rPr>
        <w:t xml:space="preserve">Foundational infrastructure follows a recognisable pattern across the history of computing. A domain that matters — data, value, code collaboration, payments — reaches a scale where informal handling breaks down. Someone identifies the primitive: the smallest meaningful unit in the domain. They impose structure on that primitive through formal laws and invariants. The result is not a better tool. It is a new substrate on which tools are built.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Innovation</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What It Did</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Codd's Relational Model (1970)</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Data had no standard structure. Every application used custom query logic. Codd defined the row as the primitive, imposed relational constraints, and enabled declarative queries. The entire software industry reorganised around databases.</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Torvalds' Git (2005)</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Code collaboration had no lineage. Every team managed versions informally. Git defined the commit as the primitive, imposed the DAG as the structural law, and made history immutable. The entire open-source ecosystem reorganised around it.</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Nakamoto's Bitcoin (2008)</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Value transfer required trusted intermediaries. Bitcoin defined the UTXO as the primitive, imposed cryptographic ledger rules, and eliminated the need for central trust. An entirely new asset class emerged.</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DecipherOS (2025)</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Experience drivers had no computational identity. Every analysis started from scratch. DecipherOS defines the Experience Driver as the primitive, imposes the ERM as the structural law, and makes driver state permanently queryable. The CX industry will reorganise around driver infrastructure.</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structural parallel is not rhetorical. Each of these innovations solves the same class of problem: a domain with real organisational importance but no formal computational primitive. Once the primitive is defined and structure is imposed, computation becomes possible, memory becomes possible, and an entire ecosystem of dependent systems becomes buildable.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does this for experience drivers. It does not improve how they are analysed. It makes them computable for the first time.</w:t>
      </w:r>
    </w:p>
    <w:p>
      <w:pPr>
        <w:spacing w:before="200" w:after="120"/>
      </w:pPr>
    </w:p>
    <w:p>
      <w:pPr>
        <w:pStyle w:val="Heading1"/>
        <w:spacing w:before="400" w:after="160"/>
      </w:pPr>
      <w:r>
        <w:rPr>
          <w:rFonts w:ascii="Arial" w:cs="Arial" w:eastAsia="Arial" w:hAnsi="Arial"/>
          <w:b/>
          <w:bCs/>
          <w:color w:val="2D3561"/>
          <w:sz w:val="36"/>
          <w:szCs w:val="36"/>
        </w:rPr>
        <w:t xml:space="preserve">3. The Primitive: The Experience Driver</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Every computational system begins by identifying the right primitive — the smallest meaningful unit on which everything else is built. The choice of primitive is the most important architectural decision in the system. Choose wrongly, and the structure built on top will be fragile, unreliable, and unable to scale.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explicitly rejects the primitives that existing systems use: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Rejected Primitive</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Why It Fails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Sentiment</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An attribute of a moment, not a stable entity. Cannot be owned, tracked, or actioned at the organisational level.</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NPS Score</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An aggregate metric. Compresses all causal complexity into a single number. Tells you nothing about what to do.</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Theme</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An analyst interpretation. Varies by analyst, by window, by method. Has no canonical identity and cannot persist across time.</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Keyword</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A surface signal. Captures vocabulary, not the functional determinant of experience.</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Journey Stage</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 temporal location, not a causal entity. Cannot be owned by a team or actioned independently.</w:t>
            </w:r>
          </w:p>
        </w:tc>
      </w:tr>
    </w:tbl>
    <w:p>
      <w:pPr>
        <w:spacing w:before="160" w:after="120"/>
      </w:pPr>
    </w:p>
    <w:p>
      <w:pPr>
        <w:pStyle w:val="Heading2"/>
        <w:spacing w:before="320" w:after="120"/>
      </w:pPr>
      <w:r>
        <w:rPr>
          <w:rFonts w:ascii="Arial" w:cs="Arial" w:eastAsia="Arial" w:hAnsi="Arial"/>
          <w:b/>
          <w:bCs/>
          <w:color w:val="0F3460"/>
          <w:sz w:val="28"/>
          <w:szCs w:val="28"/>
        </w:rPr>
        <w:t xml:space="preserve">The Correct Primitive</w:t>
      </w:r>
    </w:p>
    <w:p>
      <w:pPr>
        <w:spacing w:before="100" w:after="160" w:line="320" w:lineRule="auto"/>
        <w:jc w:val="left"/>
      </w:pPr>
      <w:r>
        <w:rPr>
          <w:rFonts w:ascii="Arial" w:cs="Arial" w:eastAsia="Arial" w:hAnsi="Arial"/>
          <w:b w:val="false"/>
          <w:bCs w:val="false"/>
          <w:i w:val="false"/>
          <w:iCs w:val="false"/>
          <w:color w:val="1A1A2E"/>
          <w:sz w:val="22"/>
          <w:szCs w:val="22"/>
        </w:rPr>
        <w:t xml:space="preserve">An Experience Driver is a functional surface of the enterprise — the specific, named determinant of what customers actually encounter. It is expressed in the canonical form:</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DF0F7"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Canonical Form</w:t>
            </w:r>
          </w:p>
          <w:p>
            <w:pPr>
              <w:spacing w:before="0" w:after="0"/>
            </w:pPr>
            <w:r>
              <w:rPr>
                <w:rFonts w:ascii="Arial" w:cs="Arial" w:eastAsia="Arial" w:hAnsi="Arial"/>
                <w:i/>
                <w:iCs/>
                <w:color w:val="1A1A2E"/>
                <w:sz w:val="20"/>
                <w:szCs w:val="20"/>
              </w:rPr>
              <w:t xml:space="preserve">Category → Subcategory
Examples: Emergency Services → Triage Efficiency  |  Billing Transparency → Invoice Clarity  |  Diagnostic Services → Lab Test Turnaround</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Experience Driver is the right primitive for three reasons that hold across every domain and vertical.</w:t>
      </w:r>
    </w:p>
    <w:p>
      <w:pPr>
        <w:spacing w:before="80" w:after="120"/>
      </w:pPr>
    </w:p>
    <w:p>
      <w:pPr>
        <w:pStyle w:val="Heading3"/>
        <w:spacing w:before="240" w:after="100"/>
      </w:pPr>
      <w:r>
        <w:rPr>
          <w:rFonts w:ascii="Arial" w:cs="Arial" w:eastAsia="Arial" w:hAnsi="Arial"/>
          <w:b/>
          <w:bCs/>
          <w:color w:val="16213E"/>
          <w:sz w:val="24"/>
          <w:szCs w:val="24"/>
        </w:rPr>
        <w:t xml:space="preserve">Organisational Meaning</w:t>
      </w:r>
    </w:p>
    <w:p>
      <w:pPr>
        <w:spacing w:before="100" w:after="160" w:line="320" w:lineRule="auto"/>
        <w:jc w:val="left"/>
      </w:pPr>
      <w:r>
        <w:rPr>
          <w:rFonts w:ascii="Arial" w:cs="Arial" w:eastAsia="Arial" w:hAnsi="Arial"/>
          <w:b w:val="false"/>
          <w:bCs w:val="false"/>
          <w:i w:val="false"/>
          <w:iCs w:val="false"/>
          <w:color w:val="1A1A2E"/>
          <w:sz w:val="22"/>
          <w:szCs w:val="22"/>
        </w:rPr>
        <w:t xml:space="preserve">Teams own drivers, not mentions or sentiment scores. Executives track drivers, not themes. Strategy is set against drivers, not keywords. The driver is the natural unit of accountability in every organisation that takes customer experience seriously. DecipherOS does not invent this unit — it makes it computationally real.</w:t>
      </w:r>
    </w:p>
    <w:p>
      <w:pPr>
        <w:spacing w:before="120" w:after="120"/>
      </w:pPr>
    </w:p>
    <w:p>
      <w:pPr>
        <w:pStyle w:val="Heading3"/>
        <w:spacing w:before="240" w:after="100"/>
      </w:pPr>
      <w:r>
        <w:rPr>
          <w:rFonts w:ascii="Arial" w:cs="Arial" w:eastAsia="Arial" w:hAnsi="Arial"/>
          <w:b/>
          <w:bCs/>
          <w:color w:val="16213E"/>
          <w:sz w:val="24"/>
          <w:szCs w:val="24"/>
        </w:rPr>
        <w:t xml:space="preserve">Computational Stability</w:t>
      </w:r>
    </w:p>
    <w:p>
      <w:pPr>
        <w:spacing w:before="100" w:after="160" w:line="320" w:lineRule="auto"/>
        <w:jc w:val="left"/>
      </w:pPr>
      <w:r>
        <w:rPr>
          <w:rFonts w:ascii="Arial" w:cs="Arial" w:eastAsia="Arial" w:hAnsi="Arial"/>
          <w:b w:val="false"/>
          <w:bCs w:val="false"/>
          <w:i w:val="false"/>
          <w:iCs w:val="false"/>
          <w:color w:val="1A1A2E"/>
          <w:sz w:val="22"/>
          <w:szCs w:val="22"/>
        </w:rPr>
        <w:t xml:space="preserve">A driver's canonical identity does not drift. Unlike themes, which vary by analyst and method, a driver defined as a Category → Subcategory pair is exact. Character-for-character. If a signal does not map to an existing driver in the governed taxonomy, it is flagged for review rather than silently creating a fork. This stability is what makes longitudinal comparison possible.</w:t>
      </w:r>
    </w:p>
    <w:p>
      <w:pPr>
        <w:spacing w:before="120" w:after="120"/>
      </w:pPr>
    </w:p>
    <w:p>
      <w:pPr>
        <w:pStyle w:val="Heading3"/>
        <w:spacing w:before="240" w:after="100"/>
      </w:pPr>
      <w:r>
        <w:rPr>
          <w:rFonts w:ascii="Arial" w:cs="Arial" w:eastAsia="Arial" w:hAnsi="Arial"/>
          <w:b/>
          <w:bCs/>
          <w:color w:val="16213E"/>
          <w:sz w:val="24"/>
          <w:szCs w:val="24"/>
        </w:rPr>
        <w:t xml:space="preserve">Cross-Domain Generalisability</w:t>
      </w:r>
    </w:p>
    <w:p>
      <w:pPr>
        <w:spacing w:before="100" w:after="160" w:line="320" w:lineRule="auto"/>
        <w:jc w:val="left"/>
      </w:pPr>
      <w:r>
        <w:rPr>
          <w:rFonts w:ascii="Arial" w:cs="Arial" w:eastAsia="Arial" w:hAnsi="Arial"/>
          <w:b w:val="false"/>
          <w:bCs w:val="false"/>
          <w:i w:val="false"/>
          <w:iCs w:val="false"/>
          <w:color w:val="1A1A2E"/>
          <w:sz w:val="22"/>
          <w:szCs w:val="22"/>
        </w:rPr>
        <w:t xml:space="preserve">Experience drivers exist wherever humans encounter a system and produce signals about their experience. The architecture applies identically to customer experience, employee experience, patient experience, and operational experience. The primitive generalises. The vertical-specific content changes. The computational structure does not.</w:t>
      </w:r>
    </w:p>
    <w:p>
      <w:pPr>
        <w:spacing w:before="200" w:after="120"/>
      </w:pPr>
    </w:p>
    <w:p>
      <w:pPr>
        <w:pStyle w:val="Heading1"/>
        <w:spacing w:before="400" w:after="160"/>
      </w:pPr>
      <w:r>
        <w:rPr>
          <w:rFonts w:ascii="Arial" w:cs="Arial" w:eastAsia="Arial" w:hAnsi="Arial"/>
          <w:b/>
          <w:bCs/>
          <w:color w:val="2D3561"/>
          <w:sz w:val="36"/>
          <w:szCs w:val="36"/>
        </w:rPr>
        <w:t xml:space="preserve">4. The Dual Nature of the Experience Driver</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The Experience Driver is a supra-structure. It houses two distinct realities that must never be conflated, because they serve fundamentally different functions in the architecture.</w:t>
      </w:r>
    </w:p>
    <w:p>
      <w:pPr>
        <w:spacing w:before="120" w:after="120"/>
      </w:pPr>
    </w:p>
    <w:p>
      <w:pPr>
        <w:pStyle w:val="Heading2"/>
        <w:spacing w:before="320" w:after="120"/>
      </w:pPr>
      <w:r>
        <w:rPr>
          <w:rFonts w:ascii="Arial" w:cs="Arial" w:eastAsia="Arial" w:hAnsi="Arial"/>
          <w:b/>
          <w:bCs/>
          <w:color w:val="0F3460"/>
          <w:sz w:val="28"/>
          <w:szCs w:val="28"/>
        </w:rPr>
        <w:t xml:space="preserve">4.1 The Repository of Evidence — Mentions</w:t>
      </w:r>
    </w:p>
    <w:p>
      <w:pPr>
        <w:spacing w:before="100" w:after="160" w:line="320" w:lineRule="auto"/>
        <w:jc w:val="left"/>
      </w:pPr>
      <w:r>
        <w:rPr>
          <w:rFonts w:ascii="Arial" w:cs="Arial" w:eastAsia="Arial" w:hAnsi="Arial"/>
          <w:b w:val="false"/>
          <w:bCs w:val="false"/>
          <w:i w:val="false"/>
          <w:iCs w:val="false"/>
          <w:color w:val="1A1A2E"/>
          <w:sz w:val="22"/>
          <w:szCs w:val="22"/>
        </w:rPr>
        <w:t xml:space="preserve">A mention is a single, fully-dimensional instance of an experience driver extracted from a raw human signal. One raw input can produce multiple independent mentions — each representing a distinct behavioural event tied to a distinct driver.</w:t>
      </w:r>
    </w:p>
    <w:p>
      <w:pPr>
        <w:spacing w:before="8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Each mention carries full execution context across three axes: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Axis</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Intent Axis</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What the signal-emitter is doing with language. Complaint, Compliment, Suggestion, Request, Emerging Trend Signal, Behaviour Pattern. This governs which strategic posture is required.</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Affect Axis</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The emotional pressure level carried by the signal, using a vertical-specific controlled vocabulary. In healthcare: Trust, Reassurance, Uncertainty, Anxiety, Fear. Each maps to a polarity score that feeds downstream computation.</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Action Axis</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class of organisational response required. Fix, Optimize, Amplify, Innovate. Deterministically routable. One driver mention maps to exactly one action class.</w:t>
            </w:r>
          </w:p>
        </w:tc>
      </w:tr>
    </w:tbl>
    <w:p>
      <w:pPr>
        <w:spacing w:before="12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Beyond the three axes, each mention carries journey stage, interaction moment, customer effort score, behavioural keywords, a matters statement — the specific behavioural truth the signal reveals — and a semantic action statement that binds patient reality to strategic response in executable form.</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critical law governing mentions is this: mentions are the only admissible fuel for action. State monitors health. Mentions birth action. The system never acts on aggregate metrics alone. Every OU, every intervention, every PDCA cycle traces back to specific lived reality extracted from specific human signals.</w:t>
      </w:r>
    </w:p>
    <w:p>
      <w:pPr>
        <w:spacing w:before="120" w:after="120"/>
      </w:pPr>
    </w:p>
    <w:p>
      <w:pPr>
        <w:pStyle w:val="Heading2"/>
        <w:spacing w:before="320" w:after="120"/>
      </w:pPr>
      <w:r>
        <w:rPr>
          <w:rFonts w:ascii="Arial" w:cs="Arial" w:eastAsia="Arial" w:hAnsi="Arial"/>
          <w:b/>
          <w:bCs/>
          <w:color w:val="0F3460"/>
          <w:sz w:val="28"/>
          <w:szCs w:val="28"/>
        </w:rPr>
        <w:t xml:space="preserve">4.2 The Repository of State — The SEU</w:t>
      </w:r>
    </w:p>
    <w:p>
      <w:pPr>
        <w:spacing w:before="100" w:after="160" w:line="320" w:lineRule="auto"/>
        <w:jc w:val="left"/>
      </w:pPr>
      <w:r>
        <w:rPr>
          <w:rFonts w:ascii="Arial" w:cs="Arial" w:eastAsia="Arial" w:hAnsi="Arial"/>
          <w:b w:val="false"/>
          <w:bCs w:val="false"/>
          <w:i w:val="false"/>
          <w:iCs w:val="false"/>
          <w:color w:val="1A1A2E"/>
          <w:sz w:val="22"/>
          <w:szCs w:val="22"/>
        </w:rPr>
        <w:t xml:space="preserve">The Structured Experience Unit is the authoritative state container for an Experience Driver over a defined analysis window. For each driver, there is exactly one SEU per window — no more, no fewer. This is the Identity Law.</w:t>
      </w:r>
    </w:p>
    <w:p>
      <w:pPr>
        <w:spacing w:before="8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SEU computes three core metrics from the mention set:</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ERI — Emotional Resonance Index</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weighted mean of affect axis polarity scores across all mentions, normalised to a scale of −90 to +90. Answers: what is the net emotional direction of this driver?</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EVI — Emotional Volatility Index</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The population standard deviation of affect scores, normalised to 0–100. Answers: how consistent is the emotional signal? High volatility means the driver is producing fragmented, mixed-signal experiences.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RF — Recency × Frequency</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 composite urgency signal combining exponential recency decay with logarithmic frequency normalisation. Answers: how active and pressing is this driver right now?</w:t>
            </w:r>
          </w:p>
        </w:tc>
      </w:tr>
    </w:tbl>
    <w:p>
      <w:pPr>
        <w:spacing w:before="12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These three metrics combine to produce an Emotional State Band — a five-tier classification of the driver's health — and a Priority Tier from P0 (emergency response) to P5 (background monitoring). The SEU also carries full temporal intelligence: ERI trajectory, EVI trajectory, ES Band migration, emotion composition flow, and pattern interpretation across five time buckets within the analysis window.</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SEU answers one question only: how unhealthy is this driver right now? It does not decide action. That is the role of the OU.</w:t>
      </w:r>
    </w:p>
    <w:p>
      <w:pPr>
        <w:spacing w:before="200" w:after="120"/>
      </w:pPr>
    </w:p>
    <w:p>
      <w:pPr>
        <w:pStyle w:val="Heading1"/>
        <w:spacing w:before="400" w:after="160"/>
      </w:pPr>
      <w:r>
        <w:rPr>
          <w:rFonts w:ascii="Arial" w:cs="Arial" w:eastAsia="Arial" w:hAnsi="Arial"/>
          <w:b/>
          <w:bCs/>
          <w:color w:val="2D3561"/>
          <w:sz w:val="36"/>
          <w:szCs w:val="36"/>
        </w:rPr>
        <w:t xml:space="preserve">5. The Three Laws — The Emotional Relational Model</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A primitive alone is insufficient. Primitives require laws — formal invariants that enforce structure and prevent corruption. Without laws, records degrade into disconnected noise. Without laws, memory becomes unreliable. Without laws, agents hallucinate.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Emotional Relational Model is the enforcement substrate of DecipherOS. It is not a database schema. It is the relational law layer that makes experience drivers governable, auditable, and institutional. It consists of three laws that are non-negotiable.</w:t>
      </w:r>
    </w:p>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0F3460" w:sz="12"/>
              <w:bottom w:val="single" w:color="C0C8D8" w:sz="1"/>
              <w:right w:val="single" w:color="C0C8D8" w:sz="1"/>
            </w:tcBorders>
            <w:shd w:fill="F0F4FA" w:val="clear"/>
            <w:tcMar>
              <w:top w:type="dxa" w:w="120"/>
              <w:left w:type="dxa" w:w="240"/>
              <w:bottom w:type="dxa" w:w="120"/>
              <w:right w:type="dxa" w:w="160"/>
            </w:tcMar>
          </w:tcPr>
          <w:p>
            <w:pPr>
              <w:spacing w:before="0" w:after="60"/>
            </w:pPr>
            <w:r>
              <w:rPr>
                <w:rFonts w:ascii="Arial" w:cs="Arial" w:eastAsia="Arial" w:hAnsi="Arial"/>
                <w:b/>
                <w:bCs/>
                <w:color w:val="0F3460"/>
                <w:sz w:val="22"/>
                <w:szCs w:val="22"/>
              </w:rPr>
              <w:t xml:space="preserve">Identity Law</w:t>
            </w:r>
          </w:p>
          <w:p>
            <w:pPr>
              <w:spacing w:before="0" w:after="0"/>
            </w:pPr>
            <w:r>
              <w:rPr>
                <w:rFonts w:ascii="Arial" w:cs="Arial" w:eastAsia="Arial" w:hAnsi="Arial"/>
                <w:color w:val="1A1A2E"/>
                <w:sz w:val="21"/>
                <w:szCs w:val="21"/>
              </w:rPr>
              <w:t xml:space="preserve">Each Experience Driver has exactly one canonical SEU per analysis window.
Enforced via: UNIQUE(experience_driver_id, window_id)
Result: No duplicate states. No parallel interpretations. A single source of truth per driver per timeframe. Agents query one state and receive one deterministic answer.</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0F3460" w:sz="12"/>
              <w:bottom w:val="single" w:color="C0C8D8" w:sz="1"/>
              <w:right w:val="single" w:color="C0C8D8" w:sz="1"/>
            </w:tcBorders>
            <w:shd w:fill="F0F4FA" w:val="clear"/>
            <w:tcMar>
              <w:top w:type="dxa" w:w="120"/>
              <w:left w:type="dxa" w:w="240"/>
              <w:bottom w:type="dxa" w:w="120"/>
              <w:right w:type="dxa" w:w="160"/>
            </w:tcMar>
          </w:tcPr>
          <w:p>
            <w:pPr>
              <w:spacing w:before="0" w:after="60"/>
            </w:pPr>
            <w:r>
              <w:rPr>
                <w:rFonts w:ascii="Arial" w:cs="Arial" w:eastAsia="Arial" w:hAnsi="Arial"/>
                <w:b/>
                <w:bCs/>
                <w:color w:val="0F3460"/>
                <w:sz w:val="22"/>
                <w:szCs w:val="22"/>
              </w:rPr>
              <w:t xml:space="preserve">Lineage Law</w:t>
            </w:r>
          </w:p>
          <w:p>
            <w:pPr>
              <w:spacing w:before="0" w:after="0"/>
            </w:pPr>
            <w:r>
              <w:rPr>
                <w:rFonts w:ascii="Arial" w:cs="Arial" w:eastAsia="Arial" w:hAnsi="Arial"/>
                <w:color w:val="1A1A2E"/>
                <w:sz w:val="21"/>
                <w:szCs w:val="21"/>
              </w:rPr>
              <w:t xml:space="preserve">Every OU activation is an immutable, timestamped state transition linked to a SEU, recording the intervention, its context, and its outcome.
Enforced via: Foreign key constraints on ou_activations; immutable activation records.
Result: Every action is tied to the driver state that triggered it. Every outcome traces back to a specific condition. The causal chain is fully preserved and queryable.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0F3460" w:sz="12"/>
              <w:bottom w:val="single" w:color="C0C8D8" w:sz="1"/>
              <w:right w:val="single" w:color="C0C8D8" w:sz="1"/>
            </w:tcBorders>
            <w:shd w:fill="F0F4FA" w:val="clear"/>
            <w:tcMar>
              <w:top w:type="dxa" w:w="120"/>
              <w:left w:type="dxa" w:w="240"/>
              <w:bottom w:type="dxa" w:w="120"/>
              <w:right w:type="dxa" w:w="160"/>
            </w:tcMar>
          </w:tcPr>
          <w:p>
            <w:pPr>
              <w:spacing w:before="0" w:after="60"/>
            </w:pPr>
            <w:r>
              <w:rPr>
                <w:rFonts w:ascii="Arial" w:cs="Arial" w:eastAsia="Arial" w:hAnsi="Arial"/>
                <w:b/>
                <w:bCs/>
                <w:color w:val="0F3460"/>
                <w:sz w:val="22"/>
                <w:szCs w:val="22"/>
              </w:rPr>
              <w:t xml:space="preserve">Memory Law</w:t>
            </w:r>
          </w:p>
          <w:p>
            <w:pPr>
              <w:spacing w:before="0" w:after="0"/>
            </w:pPr>
            <w:r>
              <w:rPr>
                <w:rFonts w:ascii="Arial" w:cs="Arial" w:eastAsia="Arial" w:hAnsi="Arial"/>
                <w:color w:val="1A1A2E"/>
                <w:sz w:val="21"/>
                <w:szCs w:val="21"/>
              </w:rPr>
              <w:t xml:space="preserve">Every Experience Driver state transition retains referential integrity across time. No state is ever orphaned.
Enforced via: FK relationships across all state transitions; institutional_memory_events table.
Result: The system can query its own biography. Historical outcomes constrain future decisions. Learning compounds rather than resets.</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These three laws are the minimum necessary set. Remove any one of them and the system degrades in a specific, predictable way. Remove the Identity Law and driver state fragments into parallel, incomparable records. Remove the Lineage Law and causality becomes unverifiable. Remove the Memory Law and the system becomes amnesiac — learning cannot compound.</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properties that emerge from these laws require no additional architecture: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What It Delivers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Full auditability</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Every action, its trigger, and its outcome are traceable. Root cause analysis becomes instantaneous.</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Agent-native state</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Autonomous agents query shared, deterministic truth. Hallucination of driver state becomes structurally impossible.</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Elasticity verification</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Before and after SEU state is captured for every intervention. Proof of impact is built into the schema.</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Institutional memory</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The system remembers patterns that humans forget and that quarterly reviews erase.</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Model independence</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LLMs can be swapped without rewriting state. The architecture is not coupled to any specific model.</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Horizontal scalability</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Standard relational operations on a portable SQL schema. Billions of rows without redesign.</w:t>
            </w:r>
          </w:p>
        </w:tc>
      </w:tr>
    </w:tbl>
    <w:p>
      <w:pPr>
        <w:spacing w:before="200" w:after="120"/>
      </w:pPr>
    </w:p>
    <w:p>
      <w:pPr>
        <w:pStyle w:val="Heading1"/>
        <w:spacing w:before="400" w:after="160"/>
      </w:pPr>
      <w:r>
        <w:rPr>
          <w:rFonts w:ascii="Arial" w:cs="Arial" w:eastAsia="Arial" w:hAnsi="Arial"/>
          <w:b/>
          <w:bCs/>
          <w:color w:val="2D3561"/>
          <w:sz w:val="36"/>
          <w:szCs w:val="36"/>
        </w:rPr>
        <w:t xml:space="preserve">6. The Architecture — Layer by Layer</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The DecipherOS pipeline converts unstructured human signals into execution-grade reality objects through six layers. Each layer has a precisely defined input, output, and responsibility. No layer exceeds its mandate.</w:t>
      </w:r>
    </w:p>
    <w:p>
      <w:pPr>
        <w:spacing w:before="160" w:after="120"/>
      </w:pPr>
    </w:p>
    <w:p>
      <w:pPr>
        <w:pStyle w:val="Heading2"/>
        <w:spacing w:before="320" w:after="120"/>
      </w:pPr>
      <w:r>
        <w:rPr>
          <w:rFonts w:ascii="Arial" w:cs="Arial" w:eastAsia="Arial" w:hAnsi="Arial"/>
          <w:b/>
          <w:bCs/>
          <w:color w:val="0F3460"/>
          <w:sz w:val="28"/>
          <w:szCs w:val="28"/>
        </w:rPr>
        <w:t xml:space="preserve">Layer 1 — The Semantic Refinery</w:t>
      </w:r>
    </w:p>
    <w:p>
      <w:pPr>
        <w:spacing w:before="100" w:after="160" w:line="320" w:lineRule="auto"/>
        <w:jc w:val="left"/>
      </w:pPr>
      <w:r>
        <w:rPr>
          <w:rFonts w:ascii="Arial" w:cs="Arial" w:eastAsia="Arial" w:hAnsi="Arial"/>
          <w:b w:val="false"/>
          <w:bCs w:val="false"/>
          <w:i w:val="false"/>
          <w:iCs w:val="false"/>
          <w:color w:val="1A1A2E"/>
          <w:sz w:val="22"/>
          <w:szCs w:val="22"/>
        </w:rPr>
        <w:t xml:space="preserve">Raw human signals — patient feedback, customer reviews, survey responses, support transcripts — enter the system as unstructured text. Layer 1's sole responsibility is governed signal ingestion.</w:t>
      </w:r>
    </w:p>
    <w:p>
      <w:pPr>
        <w:spacing w:before="8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A six-gate CEM Relevance Filter first determines eligibility. Signals must demonstrate observable impact, deterministic action axis eligibility, minimum diagnostic specificity, and actionability within the organisation's domain of responsibility. Signals that fail any gate are excluded silently. No logging, no placeholders. This preserves a surgically clean ingestion boundary.</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Signals that pass the filter are unpacked into fully-dimensional mention rows. One raw input can produce multiple mentions — one per independent behavioural trigger contained within it. Each trigger belongs to a distinct Experience Driver and is assigned all three axes plus the full contextual payload. The cardinality rule is explicit: when in doubt, extract more drivers upstream. Merging OUs is reversible. Splitting corrupted identity is not.</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taxonomy that governs driver identity is a closed vocabulary. Experience Drivers are selected, never invented. Character-for-character matching against the taxonomy is mandatory. If no entry applies, a temporary driver is flagged for governance review. This is what prevents taxonomy drift from silently corrupting longitudinal comparability.</w:t>
      </w:r>
    </w:p>
    <w:p>
      <w:pPr>
        <w:spacing w:before="160" w:after="120"/>
      </w:pPr>
    </w:p>
    <w:p>
      <w:pPr>
        <w:pStyle w:val="Heading2"/>
        <w:spacing w:before="320" w:after="120"/>
      </w:pPr>
      <w:r>
        <w:rPr>
          <w:rFonts w:ascii="Arial" w:cs="Arial" w:eastAsia="Arial" w:hAnsi="Arial"/>
          <w:b/>
          <w:bCs/>
          <w:color w:val="0F3460"/>
          <w:sz w:val="28"/>
          <w:szCs w:val="28"/>
        </w:rPr>
        <w:t xml:space="preserve">Layer 2 — The State Engine</w:t>
      </w:r>
    </w:p>
    <w:p>
      <w:pPr>
        <w:spacing w:before="100" w:after="160" w:line="320" w:lineRule="auto"/>
        <w:jc w:val="left"/>
      </w:pPr>
      <w:r>
        <w:rPr>
          <w:rFonts w:ascii="Arial" w:cs="Arial" w:eastAsia="Arial" w:hAnsi="Arial"/>
          <w:b w:val="false"/>
          <w:bCs w:val="false"/>
          <w:i w:val="false"/>
          <w:iCs w:val="false"/>
          <w:color w:val="1A1A2E"/>
          <w:sz w:val="22"/>
          <w:szCs w:val="22"/>
        </w:rPr>
        <w:t xml:space="preserve">Layer 2 aggregates all mentions for a given Experience Driver within the analysis window and computes the SEU. ERI, EVI, RF, temporal intelligence, emotional state band, and priority tier are all derived deterministically from the mention set. Same inputs produce the same outputs, every time.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SEU is stamped with a deterministic identifier: an MD5 hash of driver identity + analysis anchor + window length. This means the same driver in the same window always produces the same SEU ID, enabling reliable cross-run comparison and lineage tracking.</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temporal intelligence layer is the most sophisticated component of the SEU. Rather than computing a single snapshot, it tracks ERI and EVI across five time buckets within the window, measures tier crossings rather than raw deltas, derives ES Band migration, and synthesises a PEM Guidance block that outputs stream bias recommendations directly consumable by agents.</w:t>
      </w:r>
    </w:p>
    <w:p>
      <w:pPr>
        <w:spacing w:before="160" w:after="120"/>
      </w:pPr>
    </w:p>
    <w:p>
      <w:pPr>
        <w:pStyle w:val="Heading2"/>
        <w:spacing w:before="320" w:after="120"/>
      </w:pPr>
      <w:r>
        <w:rPr>
          <w:rFonts w:ascii="Arial" w:cs="Arial" w:eastAsia="Arial" w:hAnsi="Arial"/>
          <w:b/>
          <w:bCs/>
          <w:color w:val="0F3460"/>
          <w:sz w:val="28"/>
          <w:szCs w:val="28"/>
        </w:rPr>
        <w:t xml:space="preserve">Layer 2.5 — The Action Engine (OU Birthing)</w:t>
      </w:r>
    </w:p>
    <w:p>
      <w:pPr>
        <w:spacing w:before="100" w:after="160" w:line="320" w:lineRule="auto"/>
        <w:jc w:val="left"/>
      </w:pPr>
      <w:r>
        <w:rPr>
          <w:rFonts w:ascii="Arial" w:cs="Arial" w:eastAsia="Arial" w:hAnsi="Arial"/>
          <w:b w:val="false"/>
          <w:bCs w:val="false"/>
          <w:i w:val="false"/>
          <w:iCs w:val="false"/>
          <w:color w:val="1A1A2E"/>
          <w:sz w:val="22"/>
          <w:szCs w:val="22"/>
        </w:rPr>
        <w:t xml:space="preserve">OUs are not born from the SEU. They are born from mentions. This is the architectural separation that makes the system work.</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OU birthing process operates through triple-axis slicing. For each Experience Driver, mentions are segmented by Intent Axis and Action Axis. Only within that bounded slice does clustering occur. This means every OU is semantically constrained before a single embedding is computed — it can only contain mentions that share the same functional determinant, the same patient intent, and the same required organisational response.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Within each slice, HDBSCAN clustering operates on weighted behavioural signatures. The matters field — the core behavioural truth of each mention — carries the highest weight. Interaction moment and journey stage provide contextual anchoring. The clustering algorithm finds natural density groupings without requiring a predetermined cluster count, and labels noise as singletons rather than forcing them into artificial clusters.</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Each cluster becomes an Orchestration Unit: an atomic, non-overlapping, execution-ready mission object. The result is the 1:M relationship that gives the architecture its power:</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DF0F7"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The 1:M Protocol</w:t>
            </w:r>
          </w:p>
          <w:p>
            <w:pPr>
              <w:spacing w:before="0" w:after="0"/>
            </w:pPr>
            <w:r>
              <w:rPr>
                <w:rFonts w:ascii="Arial" w:cs="Arial" w:eastAsia="Arial" w:hAnsi="Arial"/>
                <w:i/>
                <w:iCs/>
                <w:color w:val="1A1A2E"/>
                <w:sz w:val="20"/>
                <w:szCs w:val="20"/>
              </w:rPr>
              <w:t xml:space="preserve">1 Experience Driver → 1:M Mentions → 1:M Orchestration Units
One driver is not one problem. It is a container for many distinct causal truths. Each OU represents exactly one of those truths — and nothing else.</w:t>
            </w:r>
          </w:p>
        </w:tc>
      </w:tr>
    </w:tbl>
    <w:p>
      <w:pPr>
        <w:spacing w:before="160" w:after="120"/>
      </w:pPr>
    </w:p>
    <w:p>
      <w:pPr>
        <w:pStyle w:val="Heading2"/>
        <w:spacing w:before="320" w:after="120"/>
      </w:pPr>
      <w:r>
        <w:rPr>
          <w:rFonts w:ascii="Arial" w:cs="Arial" w:eastAsia="Arial" w:hAnsi="Arial"/>
          <w:b/>
          <w:bCs/>
          <w:color w:val="0F3460"/>
          <w:sz w:val="28"/>
          <w:szCs w:val="28"/>
        </w:rPr>
        <w:t xml:space="preserve">Layer 3 — The Definition Engine</w:t>
      </w:r>
    </w:p>
    <w:p>
      <w:pPr>
        <w:spacing w:before="100" w:after="160" w:line="320" w:lineRule="auto"/>
        <w:jc w:val="left"/>
      </w:pPr>
      <w:r>
        <w:rPr>
          <w:rFonts w:ascii="Arial" w:cs="Arial" w:eastAsia="Arial" w:hAnsi="Arial"/>
          <w:b w:val="false"/>
          <w:bCs w:val="false"/>
          <w:i w:val="false"/>
          <w:iCs w:val="false"/>
          <w:color w:val="1A1A2E"/>
          <w:sz w:val="22"/>
          <w:szCs w:val="22"/>
        </w:rPr>
        <w:t xml:space="preserve">Each OU is converted into a diagnostic-grade mandate through the application of structured problem statement construction. The output is a Reality Object: the OU plus a problem statement that declares the specific behavioural reality, the required strategic response, and the action axis justification.</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This is the final interpretive step inside DecipherOS. After this point, no new meaning is invented. The Reality Object is immutable. Nothing downstream may reinterpret it.</w:t>
      </w:r>
    </w:p>
    <w:p>
      <w:pPr>
        <w:spacing w:before="160" w:after="120"/>
      </w:pPr>
    </w:p>
    <w:p>
      <w:pPr>
        <w:pStyle w:val="Heading2"/>
        <w:spacing w:before="320" w:after="120"/>
      </w:pPr>
      <w:r>
        <w:rPr>
          <w:rFonts w:ascii="Arial" w:cs="Arial" w:eastAsia="Arial" w:hAnsi="Arial"/>
          <w:b/>
          <w:bCs/>
          <w:color w:val="0F3460"/>
          <w:sz w:val="28"/>
          <w:szCs w:val="28"/>
        </w:rPr>
        <w:t xml:space="preserve">The ORA Layer — Organisational Reality Alignment</w:t>
      </w:r>
    </w:p>
    <w:p>
      <w:pPr>
        <w:spacing w:before="100" w:after="160" w:line="320" w:lineRule="auto"/>
        <w:jc w:val="left"/>
      </w:pPr>
      <w:r>
        <w:rPr>
          <w:rFonts w:ascii="Arial" w:cs="Arial" w:eastAsia="Arial" w:hAnsi="Arial"/>
          <w:b w:val="false"/>
          <w:bCs w:val="false"/>
          <w:i w:val="false"/>
          <w:iCs w:val="false"/>
          <w:color w:val="1A1A2E"/>
          <w:sz w:val="22"/>
          <w:szCs w:val="22"/>
        </w:rPr>
        <w:t xml:space="preserve">Between the DecipherOS output and enterprise execution sits a boundary layer that prevents hallucinated feasibility. The ORA encodes what may be changed, who may change it, under which constraints, and at what cadence. It is enterprise-configured, not DecipherOS-built. DecipherOS provides the schema and the validation logic. Each enterprise declares its own operational reality.</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agent cannot act until reality is encoded. This is what makes autonomous execution safe rather than dangerous.</w:t>
      </w:r>
    </w:p>
    <w:p>
      <w:pPr>
        <w:spacing w:before="160" w:after="120"/>
      </w:pPr>
    </w:p>
    <w:p>
      <w:pPr>
        <w:pStyle w:val="Heading2"/>
        <w:spacing w:before="320" w:after="120"/>
      </w:pPr>
      <w:r>
        <w:rPr>
          <w:rFonts w:ascii="Arial" w:cs="Arial" w:eastAsia="Arial" w:hAnsi="Arial"/>
          <w:b/>
          <w:bCs/>
          <w:color w:val="0F3460"/>
          <w:sz w:val="28"/>
          <w:szCs w:val="28"/>
        </w:rPr>
        <w:t xml:space="preserve">Layer 4 — Execution, Measurement and Memory</w:t>
      </w: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does not execute actions. It requires their receipt. When an enterprise executes against an OU, the action is logged in a standardised Action Receipt format: action class, surface, description, scope, effort, and timestamp. This is a mandatory contract, not an optional feature. Without it, the learning loop cannot close.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Outcome measurement operates by re-evaluating SEU state after a defined measurement window. Elasticity — the ratio of percentage change in effort to percentage change in emotional state — is computed independently by the system. No intervention self-reports its own effectiveness. The architecture provides objective proof.</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All outcomes are stored in the Institutional Memory Engine: a structured ledger of action patterns, effectiveness scores, and causal relationships. This is not archival storage. It is operational memory. When a new OU is generated, the IME provides Silent Guidance — context-aware recommendations based on what has worked before, including cross-organisational patterns where privacy-preserving aggregation applies.</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loop is closed. Proof is delivered. Memory is operational.</w:t>
      </w:r>
    </w:p>
    <w:p>
      <w:pPr>
        <w:spacing w:before="200" w:after="120"/>
      </w:pPr>
    </w:p>
    <w:p>
      <w:pPr>
        <w:pStyle w:val="Heading1"/>
        <w:spacing w:before="400" w:after="160"/>
      </w:pPr>
      <w:r>
        <w:rPr>
          <w:rFonts w:ascii="Arial" w:cs="Arial" w:eastAsia="Arial" w:hAnsi="Arial"/>
          <w:b/>
          <w:bCs/>
          <w:color w:val="2D3561"/>
          <w:sz w:val="36"/>
          <w:szCs w:val="36"/>
        </w:rPr>
        <w:t xml:space="preserve">7. Why This Could Not Have Been Built Before</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Three enabling conditions had to converge simultaneously. The absence of any one of them would have made this architecture either impossible or irrelevant.</w:t>
      </w:r>
    </w:p>
    <w:p>
      <w:pPr>
        <w:spacing w:before="120" w:after="120"/>
      </w:pPr>
    </w:p>
    <w:p>
      <w:pPr>
        <w:pStyle w:val="Heading2"/>
        <w:spacing w:before="320" w:after="120"/>
      </w:pPr>
      <w:r>
        <w:rPr>
          <w:rFonts w:ascii="Arial" w:cs="Arial" w:eastAsia="Arial" w:hAnsi="Arial"/>
          <w:b/>
          <w:bCs/>
          <w:color w:val="0F3460"/>
          <w:sz w:val="28"/>
          <w:szCs w:val="28"/>
        </w:rPr>
        <w:t xml:space="preserve">LLMs for Context Extraction (2022+)</w:t>
      </w:r>
    </w:p>
    <w:p>
      <w:pPr>
        <w:spacing w:before="100" w:after="160" w:line="320" w:lineRule="auto"/>
        <w:jc w:val="left"/>
      </w:pPr>
      <w:r>
        <w:rPr>
          <w:rFonts w:ascii="Arial" w:cs="Arial" w:eastAsia="Arial" w:hAnsi="Arial"/>
          <w:b w:val="false"/>
          <w:bCs w:val="false"/>
          <w:i w:val="false"/>
          <w:iCs w:val="false"/>
          <w:color w:val="1A1A2E"/>
          <w:sz w:val="22"/>
          <w:szCs w:val="22"/>
        </w:rPr>
        <w:t xml:space="preserve">Before large language models, reliable extraction of Experience Drivers from unstructured feedback at enterprise scale was not possible. Traditional NLP used keyword matching and topic modelling — both of which drift, conflict, and produce inconsistent taxonomies. LLMs understand semantic context, preserve behavioural nuance, and can unpack a single raw input into multiple fully-dimensional mention rows with high consistency. Without this capability, Layer 1 does not work. The pipeline has no fuel.</w:t>
      </w:r>
    </w:p>
    <w:p>
      <w:pPr>
        <w:spacing w:before="120" w:after="120"/>
      </w:pPr>
    </w:p>
    <w:p>
      <w:pPr>
        <w:pStyle w:val="Heading2"/>
        <w:spacing w:before="320" w:after="120"/>
      </w:pPr>
      <w:r>
        <w:rPr>
          <w:rFonts w:ascii="Arial" w:cs="Arial" w:eastAsia="Arial" w:hAnsi="Arial"/>
          <w:b/>
          <w:bCs/>
          <w:color w:val="0F3460"/>
          <w:sz w:val="28"/>
          <w:szCs w:val="28"/>
        </w:rPr>
        <w:t xml:space="preserve">Agentic Systems Creating Demand (2023+)</w:t>
      </w:r>
    </w:p>
    <w:p>
      <w:pPr>
        <w:spacing w:before="100" w:after="160" w:line="320" w:lineRule="auto"/>
        <w:jc w:val="left"/>
      </w:pPr>
      <w:r>
        <w:rPr>
          <w:rFonts w:ascii="Arial" w:cs="Arial" w:eastAsia="Arial" w:hAnsi="Arial"/>
          <w:b w:val="false"/>
          <w:bCs w:val="false"/>
          <w:i w:val="false"/>
          <w:iCs w:val="false"/>
          <w:color w:val="1A1A2E"/>
          <w:sz w:val="22"/>
          <w:szCs w:val="22"/>
        </w:rPr>
        <w:t xml:space="preserve">Before autonomous AI agents became operationally viable, the demand for machine-queryable experience state did not exist. Human analysts mediated all CX action. They could tolerate ambiguous, non-persistent, non-deterministic data because they added context and interpretation themselves. Agents cannot do this. They require shared truth, stable state, and atomic executable missions. The demand for this substrate emerged only when agents became real. Without that demand, there was no urgency to build it.</w:t>
      </w:r>
    </w:p>
    <w:p>
      <w:pPr>
        <w:spacing w:before="120" w:after="120"/>
      </w:pPr>
    </w:p>
    <w:p>
      <w:pPr>
        <w:pStyle w:val="Heading2"/>
        <w:spacing w:before="320" w:after="120"/>
      </w:pPr>
      <w:r>
        <w:rPr>
          <w:rFonts w:ascii="Arial" w:cs="Arial" w:eastAsia="Arial" w:hAnsi="Arial"/>
          <w:b/>
          <w:bCs/>
          <w:color w:val="0F3460"/>
          <w:sz w:val="28"/>
          <w:szCs w:val="28"/>
        </w:rPr>
        <w:t xml:space="preserve">Infrastructure Maturity (Cloud, Postgres, Modern Stacks)</w:t>
      </w:r>
    </w:p>
    <w:p>
      <w:pPr>
        <w:spacing w:before="100" w:after="160" w:line="320" w:lineRule="auto"/>
        <w:jc w:val="left"/>
      </w:pPr>
      <w:r>
        <w:rPr>
          <w:rFonts w:ascii="Arial" w:cs="Arial" w:eastAsia="Arial" w:hAnsi="Arial"/>
          <w:b w:val="false"/>
          <w:bCs w:val="false"/>
          <w:i w:val="false"/>
          <w:iCs w:val="false"/>
          <w:color w:val="1A1A2E"/>
          <w:sz w:val="22"/>
          <w:szCs w:val="22"/>
        </w:rPr>
        <w:t xml:space="preserve">This architecture requires persistent state across potentially billions of mentions, complex temporal queries, referential integrity across multiple related tables, and lineage preservation for every activation and outcome. Modern Postgres handles this scale without specialised infrastructure. Cloud deployment makes it accessible. The cost of maintaining this schema at enterprise scale is now negligible. Ten years ago, it would have been prohibitive.</w:t>
      </w:r>
    </w:p>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These three conditions converged between 2022 and 2025. The architecture is not early. It is precisely timed.</w:t>
      </w:r>
    </w:p>
    <w:p>
      <w:pPr>
        <w:spacing w:before="200" w:after="120"/>
      </w:pPr>
    </w:p>
    <w:p>
      <w:pPr>
        <w:pStyle w:val="Heading1"/>
        <w:spacing w:before="400" w:after="160"/>
      </w:pPr>
      <w:r>
        <w:rPr>
          <w:rFonts w:ascii="Arial" w:cs="Arial" w:eastAsia="Arial" w:hAnsi="Arial"/>
          <w:b/>
          <w:bCs/>
          <w:color w:val="2D3561"/>
          <w:sz w:val="36"/>
          <w:szCs w:val="36"/>
        </w:rPr>
        <w:t xml:space="preserve">8. The Agentic Case — Why Agents Need This Substrate</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AI agents are proliferating across every domain. Contact centres, back-office operations, knowledge work, compliance, clinical decision support. The question that almost no one is asking is the only question that determines whether this proliferation produces value or catastrophe: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DF0F7"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The Habitat Question</w:t>
            </w:r>
          </w:p>
          <w:p>
            <w:pPr>
              <w:spacing w:before="0" w:after="0"/>
            </w:pPr>
            <w:r>
              <w:rPr>
                <w:rFonts w:ascii="Arial" w:cs="Arial" w:eastAsia="Arial" w:hAnsi="Arial"/>
                <w:i/>
                <w:iCs/>
                <w:color w:val="1A1A2E"/>
                <w:sz w:val="20"/>
                <w:szCs w:val="20"/>
              </w:rPr>
              <w:t xml:space="preserve">Where will these agents live? What is the environment in which they will perceive, decide, act, and learn?</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Today's agents are intelligent but homeless. They operate without shared truth — so they hallucinate. Without stable state — so they contradict themselves. Without memory — so they repeat failures. Without mission structure — so their actions are disconnected from outcomes. Without causal lineage — so learning cannot occur.</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provides the habitat. It gives agents exactly what they need and nothing more than what they should have.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What Agents Need</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What DecipherOS Provides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Stable ontology</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ERM defines what an Experience Driver is, how it relates to mentions, how SEUs represent state, and how OUs represent missions. Agents operate within this ontology, not against an ambiguous interpretation of reality.</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Stable state</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The SEU is the agent's perception layer. It answers: what is the current condition of this driver? This answer is deterministic. Every agent in the system receives the same answer.</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Stable mission structure</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OU is the agent's action unit. It contains everything required to execute: the causal truth, the interaction moment, the required response class, the organisational owner. Agents do not decide what to do. They execute what the OU specifies.</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Stable memory</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The IME is the agent's institutional biography. Past outcomes constrain future decisions. The system evolves from experience. Agents that have access to IME do not repeat failures.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Stable constraints</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ORA firewall prevents agents from acting on hallucinated feasibility. The boundary between what is analytically true and what is operationally possible is explicit and enforced.</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significance of this is architectural, not incremental. Agents without this substrate are dangerous at scale. They produce confident-sounding outputs with no grounding in institutional reality, no memory of what has been tried, and no mechanism for proving whether their actions produced change. The failure mode is not visible at small scale. It becomes catastrophic as autonomy increases.</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does not make agents smarter. It makes agents safe.</w:t>
      </w:r>
    </w:p>
    <w:p>
      <w:pPr>
        <w:spacing w:before="200" w:after="120"/>
      </w:pPr>
    </w:p>
    <w:p>
      <w:pPr>
        <w:pStyle w:val="Heading1"/>
        <w:spacing w:before="400" w:after="160"/>
      </w:pPr>
      <w:r>
        <w:rPr>
          <w:rFonts w:ascii="Arial" w:cs="Arial" w:eastAsia="Arial" w:hAnsi="Arial"/>
          <w:b/>
          <w:bCs/>
          <w:color w:val="2D3561"/>
          <w:sz w:val="36"/>
          <w:szCs w:val="36"/>
        </w:rPr>
        <w:t xml:space="preserve">9. The Bayesian Organisation</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The deepest organisational value of this architecture is not speed or efficiency. It is the transformation of the organisation itself from a static, descriptive entity into an adaptive, learning system.</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A Bayesian system improves by forming a belief, acting, observing the result, and updating the belief. This is how scientific knowledge accumulates. This is how effective decision-making compounds over time.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Most organisations do not operate this way. They diagnose problems repeatedly, run disconnected initiatives, forget outcomes, and re-debate the same issues year after year. The root cause is structural: there is no mechanism to link action to outcome to future decision. Each cycle begins from zero.</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8" w:sz="1"/>
              <w:left w:val="single" w:color="C0C8D8" w:sz="1"/>
              <w:bottom w:val="single" w:color="C0C8D8" w:sz="1"/>
              <w:right w:val="single" w:color="C0C8D8" w:sz="1"/>
            </w:tcBorders>
            <w:shd w:fill="EDF0F7"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The Organisational Amnesia Problem</w:t>
            </w:r>
          </w:p>
          <w:p>
            <w:pPr>
              <w:spacing w:before="0" w:after="0"/>
            </w:pPr>
            <w:r>
              <w:rPr>
                <w:rFonts w:ascii="Arial" w:cs="Arial" w:eastAsia="Arial" w:hAnsi="Arial"/>
                <w:i/>
                <w:iCs/>
                <w:color w:val="1A1A2E"/>
                <w:sz w:val="20"/>
                <w:szCs w:val="20"/>
              </w:rPr>
              <w:t xml:space="preserve">Insight without consequence does not compound. Understanding without action does not evolve. Measurement without memory does not learn.</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DecipherOS resolves this structurally. When actions are recorded, outcomes are measured, and future decisions are constrained by past results, the organisation no longer debates — it updates. Experience stops being a storytelling function. Strategy stops being speculative. AI stops hallucinating solutions. Autonomy becomes safe.</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compounding effect is the long-term moat. An organisation that has operated on this substrate for three years has accumulated institutional knowledge that cannot be replicated by a competitor starting fresh. Every intervention, every outcome, every silent guidance recommendation makes the next decision better informed. The advantage is not linear. It is exponential.</w:t>
      </w:r>
    </w:p>
    <w:p>
      <w:pPr>
        <w:spacing w:before="200" w:after="120"/>
      </w:pPr>
    </w:p>
    <w:p>
      <w:pPr>
        <w:pStyle w:val="Heading1"/>
        <w:spacing w:before="400" w:after="160"/>
      </w:pPr>
      <w:r>
        <w:rPr>
          <w:rFonts w:ascii="Arial" w:cs="Arial" w:eastAsia="Arial" w:hAnsi="Arial"/>
          <w:b/>
          <w:bCs/>
          <w:color w:val="2D3561"/>
          <w:sz w:val="36"/>
          <w:szCs w:val="36"/>
        </w:rPr>
        <w:t xml:space="preserve">10. What This Is — and What It Is Not</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Precision about category is essential. Misclassifying this architecture leads to misunderstanding its value, its competitive position, and its implementation path.</w:t>
      </w:r>
    </w:p>
    <w:p>
      <w:pPr>
        <w:spacing w:before="120" w:after="120"/>
      </w:pPr>
    </w:p>
    <w:p>
      <w:pPr>
        <w:pStyle w:val="Heading2"/>
        <w:spacing w:before="320" w:after="120"/>
      </w:pPr>
      <w:r>
        <w:rPr>
          <w:rFonts w:ascii="Arial" w:cs="Arial" w:eastAsia="Arial" w:hAnsi="Arial"/>
          <w:b/>
          <w:bCs/>
          <w:color w:val="0F3460"/>
          <w:sz w:val="28"/>
          <w:szCs w:val="28"/>
        </w:rPr>
        <w:t xml:space="preserve">What DecipherOS is not</w:t>
      </w:r>
    </w:p>
    <w:p>
      <w:pPr>
        <w:pStyle w:val="ListParagraph"/>
        <w:numPr>
          <w:ilvl w:val="0"/>
          <w:numId w:val="2"/>
        </w:numPr>
        <w:spacing w:before="60" w:after="60"/>
      </w:pPr>
      <w:r>
        <w:rPr>
          <w:rFonts w:ascii="Arial" w:cs="Arial" w:eastAsia="Arial" w:hAnsi="Arial"/>
          <w:b w:val="false"/>
          <w:bCs w:val="false"/>
          <w:color w:val="1A1A2E"/>
          <w:sz w:val="22"/>
          <w:szCs w:val="22"/>
        </w:rPr>
        <w:t xml:space="preserve">It is not a CX analytics platform. It produces no dashboards. It makes no recommendations. It observes nothing.</w:t>
      </w:r>
    </w:p>
    <w:p>
      <w:pPr>
        <w:pStyle w:val="ListParagraph"/>
        <w:numPr>
          <w:ilvl w:val="0"/>
          <w:numId w:val="2"/>
        </w:numPr>
        <w:spacing w:before="60" w:after="60"/>
      </w:pPr>
      <w:r>
        <w:rPr>
          <w:rFonts w:ascii="Arial" w:cs="Arial" w:eastAsia="Arial" w:hAnsi="Arial"/>
          <w:b w:val="false"/>
          <w:bCs w:val="false"/>
          <w:color w:val="1A1A2E"/>
          <w:sz w:val="22"/>
          <w:szCs w:val="22"/>
        </w:rPr>
        <w:t xml:space="preserve">It is not an AI copilot. It does not chat, summarise, or assist. It accounts for reality.</w:t>
      </w:r>
    </w:p>
    <w:p>
      <w:pPr>
        <w:pStyle w:val="ListParagraph"/>
        <w:numPr>
          <w:ilvl w:val="0"/>
          <w:numId w:val="2"/>
        </w:numPr>
        <w:spacing w:before="60" w:after="60"/>
      </w:pPr>
      <w:r>
        <w:rPr>
          <w:rFonts w:ascii="Arial" w:cs="Arial" w:eastAsia="Arial" w:hAnsi="Arial"/>
          <w:b w:val="false"/>
          <w:bCs w:val="false"/>
          <w:color w:val="1A1A2E"/>
          <w:sz w:val="22"/>
          <w:szCs w:val="22"/>
        </w:rPr>
        <w:t xml:space="preserve">It is not a sentiment engine. Emotion is a weighting signal in DecipherOS — not the object of study.</w:t>
      </w:r>
    </w:p>
    <w:p>
      <w:pPr>
        <w:pStyle w:val="ListParagraph"/>
        <w:numPr>
          <w:ilvl w:val="0"/>
          <w:numId w:val="2"/>
        </w:numPr>
        <w:spacing w:before="60" w:after="60"/>
      </w:pPr>
      <w:r>
        <w:rPr>
          <w:rFonts w:ascii="Arial" w:cs="Arial" w:eastAsia="Arial" w:hAnsi="Arial"/>
          <w:b w:val="false"/>
          <w:bCs w:val="false"/>
          <w:color w:val="1A1A2E"/>
          <w:sz w:val="22"/>
          <w:szCs w:val="22"/>
        </w:rPr>
        <w:t xml:space="preserve">It is not a VoC tool. VoC tools produce insight. DecipherOS produces state, missions, and proof.</w:t>
      </w:r>
    </w:p>
    <w:p>
      <w:pPr>
        <w:pStyle w:val="ListParagraph"/>
        <w:numPr>
          <w:ilvl w:val="0"/>
          <w:numId w:val="2"/>
        </w:numPr>
        <w:spacing w:before="60" w:after="60"/>
      </w:pPr>
      <w:r>
        <w:rPr>
          <w:rFonts w:ascii="Arial" w:cs="Arial" w:eastAsia="Arial" w:hAnsi="Arial"/>
          <w:b w:val="false"/>
          <w:bCs w:val="false"/>
          <w:color w:val="1A1A2E"/>
          <w:sz w:val="22"/>
          <w:szCs w:val="22"/>
        </w:rPr>
        <w:t xml:space="preserve">It is not a workflow automation platform. It does not automate tasks. It structures the reality on which tasks are selected and executed.</w:t>
      </w:r>
    </w:p>
    <w:p>
      <w:pPr>
        <w:spacing w:before="120" w:after="120"/>
      </w:pPr>
    </w:p>
    <w:p>
      <w:pPr>
        <w:pStyle w:val="Heading2"/>
        <w:spacing w:before="320" w:after="120"/>
      </w:pPr>
      <w:r>
        <w:rPr>
          <w:rFonts w:ascii="Arial" w:cs="Arial" w:eastAsia="Arial" w:hAnsi="Arial"/>
          <w:b/>
          <w:bCs/>
          <w:color w:val="0F3460"/>
          <w:sz w:val="28"/>
          <w:szCs w:val="28"/>
        </w:rPr>
        <w:t xml:space="preserve">What DecipherOS is</w:t>
      </w:r>
    </w:p>
    <w:p>
      <w:pPr>
        <w:pStyle w:val="ListParagraph"/>
        <w:numPr>
          <w:ilvl w:val="0"/>
          <w:numId w:val="2"/>
        </w:numPr>
        <w:spacing w:before="60" w:after="60"/>
      </w:pPr>
      <w:r>
        <w:rPr>
          <w:rFonts w:ascii="Arial" w:cs="Arial" w:eastAsia="Arial" w:hAnsi="Arial"/>
          <w:b w:val="false"/>
          <w:bCs w:val="false"/>
          <w:color w:val="1A1A2E"/>
          <w:sz w:val="22"/>
          <w:szCs w:val="22"/>
        </w:rPr>
        <w:t xml:space="preserve">It is a System of Record for Lived Reality — the first computational ledger of experience driver state.</w:t>
      </w:r>
    </w:p>
    <w:p>
      <w:pPr>
        <w:pStyle w:val="ListParagraph"/>
        <w:numPr>
          <w:ilvl w:val="0"/>
          <w:numId w:val="2"/>
        </w:numPr>
        <w:spacing w:before="60" w:after="60"/>
      </w:pPr>
      <w:r>
        <w:rPr>
          <w:rFonts w:ascii="Arial" w:cs="Arial" w:eastAsia="Arial" w:hAnsi="Arial"/>
          <w:b w:val="false"/>
          <w:bCs w:val="false"/>
          <w:color w:val="1A1A2E"/>
          <w:sz w:val="22"/>
          <w:szCs w:val="22"/>
        </w:rPr>
        <w:t xml:space="preserve">It is the missing substrate between human signal and machine execution — the layer that makes agentic CX safe.</w:t>
      </w:r>
    </w:p>
    <w:p>
      <w:pPr>
        <w:pStyle w:val="ListParagraph"/>
        <w:numPr>
          <w:ilvl w:val="0"/>
          <w:numId w:val="2"/>
        </w:numPr>
        <w:spacing w:before="60" w:after="60"/>
      </w:pPr>
      <w:r>
        <w:rPr>
          <w:rFonts w:ascii="Arial" w:cs="Arial" w:eastAsia="Arial" w:hAnsi="Arial"/>
          <w:b w:val="false"/>
          <w:bCs w:val="false"/>
          <w:color w:val="1A1A2E"/>
          <w:sz w:val="22"/>
          <w:szCs w:val="22"/>
        </w:rPr>
        <w:t xml:space="preserve">It is infrastructure — invisible when working correctly, catastrophic when absent.</w:t>
      </w:r>
    </w:p>
    <w:p>
      <w:pPr>
        <w:pStyle w:val="ListParagraph"/>
        <w:numPr>
          <w:ilvl w:val="0"/>
          <w:numId w:val="2"/>
        </w:numPr>
        <w:spacing w:before="60" w:after="60"/>
      </w:pPr>
      <w:r>
        <w:rPr>
          <w:rFonts w:ascii="Arial" w:cs="Arial" w:eastAsia="Arial" w:hAnsi="Arial"/>
          <w:b w:val="false"/>
          <w:bCs w:val="false"/>
          <w:color w:val="1A1A2E"/>
          <w:sz w:val="22"/>
          <w:szCs w:val="22"/>
        </w:rPr>
        <w:t xml:space="preserve">It is the enforcement layer for the only question that matters: did reality actually move?</w:t>
      </w:r>
    </w:p>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governing law of the entire system is simple and non-negotiable: Structure must precede agency. Autonomous systems cannot safely operate without stable state, causal truth, enforceable boundaries, and memory of consequence. DecipherOS exists to provide exactly that — and nothing more.</w:t>
      </w:r>
    </w:p>
    <w:p>
      <w:pPr>
        <w:spacing w:before="200" w:after="120"/>
      </w:pPr>
    </w:p>
    <w:p>
      <w:pPr>
        <w:pStyle w:val="Heading1"/>
        <w:spacing w:before="400" w:after="160"/>
      </w:pPr>
      <w:r>
        <w:rPr>
          <w:rFonts w:ascii="Arial" w:cs="Arial" w:eastAsia="Arial" w:hAnsi="Arial"/>
          <w:b/>
          <w:bCs/>
          <w:color w:val="2D3561"/>
          <w:sz w:val="36"/>
          <w:szCs w:val="36"/>
        </w:rPr>
        <w:t xml:space="preserve">11. Universality — Where This Architecture Applies</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Customer experience is the entry vector, not the boundary condition. The architecture is domain-agnostic because its primitive — the Experience Driver — generalises wherever humans encounter a system and produce signals about their experience.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Domain</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How It Applies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Healthcare</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Patient experience drivers: Triage Efficiency, Care Continuity, Medication Safety. Affect axis: Trust, Reassurance, Uncertainty, Anxiety, Fear. High-consequence signals require the most rigorous governance.</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Financial Services</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Customer experience drivers: Claim Transparency, Fraud Resolution, Advisor Responsiveness. Regulatory environment demands the auditability that ERM lineage provides natively.</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Retail &amp; E-Commerce</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Customer experience drivers: Fulfilment Accuracy, Return Experience, Product Discovery. High volume demands infrastructure-grade scalability. Compounding memory drives loyalty.</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Employee Experience</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Employee experience drivers: Onboarding Clarity, Manager Communication, Career Progression. The same primitive, the same laws, the same computational substrate.</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Supply Chain Operations</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Operational experience drivers: Route Optimisation, Warehouse Efficiency, Vendor Reliability. Human signals from operators and logistics partners treated as first-class experience data.</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vertical-specific content changes. The three axes are re-specified per vertical with controlled, authoritative vocabularies. The taxonomy is domain-appropriate. But the computational substrate — the ERM, the SEU, the OU birthing protocol, the closed learning loop — is identical across every domain. One architecture. Infinite domains.</w:t>
      </w:r>
    </w:p>
    <w:p>
      <w:pPr>
        <w:spacing w:before="200" w:after="120"/>
      </w:pPr>
    </w:p>
    <w:p>
      <w:pPr>
        <w:pStyle w:val="Heading1"/>
        <w:spacing w:before="400" w:after="160"/>
      </w:pPr>
      <w:r>
        <w:rPr>
          <w:rFonts w:ascii="Arial" w:cs="Arial" w:eastAsia="Arial" w:hAnsi="Arial"/>
          <w:b/>
          <w:bCs/>
          <w:color w:val="2D3561"/>
          <w:sz w:val="36"/>
          <w:szCs w:val="36"/>
        </w:rPr>
        <w:t xml:space="preserve">12. The Current State of the Work</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This architecture has been designed, specified, and prototyped by a single person. The following components exist as working implementations:</w:t>
      </w:r>
    </w:p>
    <w:p>
      <w:pPr>
        <w:spacing w:before="80" w:after="120"/>
      </w:pPr>
    </w:p>
    <w:p>
      <w:pPr>
        <w:pStyle w:val="ListParagraph"/>
        <w:numPr>
          <w:ilvl w:val="0"/>
          <w:numId w:val="2"/>
        </w:numPr>
        <w:spacing w:before="60" w:after="60"/>
      </w:pPr>
      <w:r>
        <w:rPr>
          <w:rFonts w:ascii="Arial" w:cs="Arial" w:eastAsia="Arial" w:hAnsi="Arial"/>
          <w:b w:val="false"/>
          <w:bCs w:val="false"/>
          <w:color w:val="1A1A2E"/>
          <w:sz w:val="22"/>
          <w:szCs w:val="22"/>
        </w:rPr>
        <w:t xml:space="preserve">Layer 1 unpacking prompt — a 3,500-line governed ingestion specification for the healthcare vertical, implementing the closed vocabulary contract, the six CEM filters, the three cardinality laws, and the full three-axis extraction schema.</w:t>
      </w:r>
    </w:p>
    <w:p>
      <w:pPr>
        <w:pStyle w:val="ListParagraph"/>
        <w:numPr>
          <w:ilvl w:val="0"/>
          <w:numId w:val="2"/>
        </w:numPr>
        <w:spacing w:before="60" w:after="60"/>
      </w:pPr>
      <w:r>
        <w:rPr>
          <w:rFonts w:ascii="Arial" w:cs="Arial" w:eastAsia="Arial" w:hAnsi="Arial"/>
          <w:b w:val="false"/>
          <w:bCs w:val="false"/>
          <w:color w:val="1A1A2E"/>
          <w:sz w:val="22"/>
          <w:szCs w:val="22"/>
        </w:rPr>
        <w:t xml:space="preserve">Layer 2 SEU computation engine — a 1,874-line Python implementation (V9) producing deterministic ERI, EVI, RF, emotional state band, priority tier, and full temporal intelligence from mention sets.</w:t>
      </w:r>
    </w:p>
    <w:p>
      <w:pPr>
        <w:pStyle w:val="ListParagraph"/>
        <w:numPr>
          <w:ilvl w:val="0"/>
          <w:numId w:val="2"/>
        </w:numPr>
        <w:spacing w:before="60" w:after="60"/>
      </w:pPr>
      <w:r>
        <w:rPr>
          <w:rFonts w:ascii="Arial" w:cs="Arial" w:eastAsia="Arial" w:hAnsi="Arial"/>
          <w:b w:val="false"/>
          <w:bCs w:val="false"/>
          <w:color w:val="1A1A2E"/>
          <w:sz w:val="22"/>
          <w:szCs w:val="22"/>
        </w:rPr>
        <w:t xml:space="preserve">Layer 2.5 OU birthing engine — a working Python implementation using sentence transformer embeddings, HDBSCAN clustering, and weighted behavioural signature construction to produce atomic OUs from triple-axis sliced mention sets.</w:t>
      </w:r>
    </w:p>
    <w:p>
      <w:pPr>
        <w:pStyle w:val="ListParagraph"/>
        <w:numPr>
          <w:ilvl w:val="0"/>
          <w:numId w:val="2"/>
        </w:numPr>
        <w:spacing w:before="60" w:after="60"/>
      </w:pPr>
      <w:r>
        <w:rPr>
          <w:rFonts w:ascii="Arial" w:cs="Arial" w:eastAsia="Arial" w:hAnsi="Arial"/>
          <w:b w:val="false"/>
          <w:bCs w:val="false"/>
          <w:color w:val="1A1A2E"/>
          <w:sz w:val="22"/>
          <w:szCs w:val="22"/>
        </w:rPr>
        <w:t xml:space="preserve">Healthcare vertical taxonomy — a fully-specified driver taxonomy covering Patient Appointments, Clinical Services, Pharmacy, Billing, Security and Compliance, Patient Records, and additional domains, with example entity names for each driver.</w:t>
      </w:r>
    </w:p>
    <w:p>
      <w:pPr>
        <w:pStyle w:val="ListParagraph"/>
        <w:numPr>
          <w:ilvl w:val="0"/>
          <w:numId w:val="2"/>
        </w:numPr>
        <w:spacing w:before="60" w:after="60"/>
      </w:pPr>
      <w:r>
        <w:rPr>
          <w:rFonts w:ascii="Arial" w:cs="Arial" w:eastAsia="Arial" w:hAnsi="Arial"/>
          <w:b w:val="false"/>
          <w:bCs w:val="false"/>
          <w:color w:val="1A1A2E"/>
          <w:sz w:val="22"/>
          <w:szCs w:val="22"/>
        </w:rPr>
        <w:t xml:space="preserve">Healthcare affect axis specification — the controlled five-tier vocabulary (Trust, Reassurance, Uncertainty, Anxiety, Fear) with locked polarity scores and enforcement rules.</w:t>
      </w:r>
    </w:p>
    <w:p>
      <w:pPr>
        <w:pStyle w:val="ListParagraph"/>
        <w:numPr>
          <w:ilvl w:val="0"/>
          <w:numId w:val="2"/>
        </w:numPr>
        <w:spacing w:before="60" w:after="60"/>
      </w:pPr>
      <w:r>
        <w:rPr>
          <w:rFonts w:ascii="Arial" w:cs="Arial" w:eastAsia="Arial" w:hAnsi="Arial"/>
          <w:b w:val="false"/>
          <w:bCs w:val="false"/>
          <w:color w:val="1A1A2E"/>
          <w:sz w:val="22"/>
          <w:szCs w:val="22"/>
        </w:rPr>
        <w:t xml:space="preserve">Architecture simulation — a complete end-to-end demonstration running a single raw patient narrative through every layer from CEM filter to SEU state to four OUs with full semantic action statements and institutional memory encoding.</w:t>
      </w:r>
    </w:p>
    <w:p>
      <w:pPr>
        <w:spacing w:before="12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What exists is a proof of architecture — sufficient to demonstrate that the system is computationally feasible, internally consistent, and capable of producing the outputs the design specifies. What does not yet exist is the engineering required to take it to production scale: the API layer, the SDK, the developer tooling, the cross-organisational IME, and the full vertical taxonomy set.</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The intellectual work is done. The engineering work is the next stage.</w:t>
      </w:r>
    </w:p>
    <w:p>
      <w:pPr>
        <w:spacing w:before="200" w:after="120"/>
      </w:pPr>
    </w:p>
    <w:p>
      <w:pPr>
        <w:pStyle w:val="Heading1"/>
        <w:spacing w:before="400" w:after="160"/>
      </w:pPr>
      <w:r>
        <w:rPr>
          <w:rFonts w:ascii="Arial" w:cs="Arial" w:eastAsia="Arial" w:hAnsi="Arial"/>
          <w:b/>
          <w:bCs/>
          <w:color w:val="2D3561"/>
          <w:sz w:val="36"/>
          <w:szCs w:val="36"/>
        </w:rPr>
        <w:t xml:space="preserve">13. The Governing Principle — Reciprocity as Protocol</w:t>
      </w:r>
    </w:p>
    <w:p>
      <w:pPr>
        <w:pBdr>
          <w:bottom w:val="single" w:color="C0C8D8" w:sz="6"/>
        </w:pBdr>
        <w:spacing w:before="0" w:after="0"/>
      </w:pPr>
    </w:p>
    <w:p>
      <w:pPr>
        <w:spacing w:before="160" w:after="80"/>
      </w:pPr>
    </w:p>
    <w:p>
      <w:pPr>
        <w:spacing w:before="100" w:after="160" w:line="320" w:lineRule="auto"/>
        <w:jc w:val="left"/>
      </w:pPr>
      <w:r>
        <w:rPr>
          <w:rFonts w:ascii="Arial" w:cs="Arial" w:eastAsia="Arial" w:hAnsi="Arial"/>
          <w:b w:val="false"/>
          <w:bCs w:val="false"/>
          <w:i w:val="false"/>
          <w:iCs w:val="false"/>
          <w:color w:val="1A1A2E"/>
          <w:sz w:val="22"/>
          <w:szCs w:val="22"/>
        </w:rPr>
        <w:t xml:space="preserve">The deepest principle in this architecture is not technical. It is moral and structural simultaneously.</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Any system that ingests human signals is architecturally obligated to return four things. Not as a best practice. Not as a product feature. As a protocol — the minimum viable response to the act of a human expressing their experience to an institution.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Obligation</w:t>
            </w:r>
          </w:p>
        </w:tc>
        <w:tc>
          <w:tcPr>
            <w:tcW w:type="dxa" w:w="5360"/>
            <w:tcBorders>
              <w:top w:val="single" w:color="C0C8D8" w:sz="1"/>
              <w:left w:val="single" w:color="C0C8D8" w:sz="1"/>
              <w:bottom w:val="single" w:color="C0C8D8" w:sz="1"/>
              <w:right w:val="single" w:color="C0C8D8" w:sz="1"/>
            </w:tcBorders>
            <w:shd w:fill="2D3561" w:val="clear"/>
            <w:tcMar>
              <w:top w:type="dxa" w:w="100"/>
              <w:left w:type="dxa" w:w="160"/>
              <w:bottom w:type="dxa" w:w="100"/>
              <w:right w:type="dxa" w:w="160"/>
            </w:tcMar>
          </w:tcPr>
          <w:p>
            <w:r>
              <w:rPr>
                <w:rFonts w:ascii="Arial" w:cs="Arial" w:eastAsia="Arial" w:hAnsi="Arial"/>
                <w:b/>
                <w:bCs/>
                <w:color w:val="FFFFFF"/>
                <w:sz w:val="20"/>
                <w:szCs w:val="20"/>
              </w:rPr>
              <w:t xml:space="preserve">What It Requires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 Comprehension</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system must understand what is actually happening — not what sentiment score it produced, but what specific functional determinant of experience is under stress and why.</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2. Action</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The system must produce an executable mandate — not a recommendation, not an insight, but an atomic mission traceable to specific lived reality.</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 Proof</w:t>
            </w:r>
          </w:p>
        </w:tc>
        <w:tc>
          <w:tcPr>
            <w:tcW w:type="dxa" w:w="5360"/>
            <w:tcBorders>
              <w:top w:val="single" w:color="C0C8D8" w:sz="1"/>
              <w:left w:val="single" w:color="C0C8D8" w:sz="1"/>
              <w:bottom w:val="single" w:color="C0C8D8" w:sz="1"/>
              <w:right w:val="single" w:color="C0C8D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system must measure whether reality changed — not self-report, not stakeholder testimony, but objective before-and-after state comparison.</w:t>
            </w:r>
          </w:p>
        </w:tc>
      </w:tr>
      <w:tr>
        <w:tc>
          <w:tcPr>
            <w:tcW w:type="dxa" w:w="400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4. Memory</w:t>
            </w:r>
          </w:p>
        </w:tc>
        <w:tc>
          <w:tcPr>
            <w:tcW w:type="dxa" w:w="5360"/>
            <w:tcBorders>
              <w:top w:val="single" w:color="C0C8D8" w:sz="1"/>
              <w:left w:val="single" w:color="C0C8D8" w:sz="1"/>
              <w:bottom w:val="single" w:color="C0C8D8" w:sz="1"/>
              <w:right w:val="single" w:color="C0C8D8"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The system must remember what happened so that failure is not repeated and success can be replicated — not in a quarterly review, but as operational system state.</w:t>
            </w:r>
          </w:p>
        </w:tc>
      </w:tr>
    </w:tbl>
    <w:p>
      <w:pPr>
        <w:spacing w:before="1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Anything less than this is observability without responsibility. Most CX systems provide observability. DecipherOS enforces responsibility.</w:t>
      </w:r>
    </w:p>
    <w:p>
      <w:pPr>
        <w:spacing w:before="60" w:after="120"/>
      </w:pPr>
    </w:p>
    <w:p>
      <w:pPr>
        <w:spacing w:before="100" w:after="160" w:line="320" w:lineRule="auto"/>
        <w:jc w:val="left"/>
      </w:pPr>
      <w:r>
        <w:rPr>
          <w:rFonts w:ascii="Arial" w:cs="Arial" w:eastAsia="Arial" w:hAnsi="Arial"/>
          <w:b w:val="false"/>
          <w:bCs w:val="false"/>
          <w:i w:val="false"/>
          <w:iCs w:val="false"/>
          <w:color w:val="1A1A2E"/>
          <w:sz w:val="22"/>
          <w:szCs w:val="22"/>
        </w:rPr>
        <w:t xml:space="preserve">This is not philosophy. This is protocol. It is the law the entire architecture is built to honour.</w:t>
      </w:r>
    </w:p>
    <w:p>
      <w:pPr>
        <w:spacing w:before="300" w:after="120"/>
      </w:pPr>
    </w:p>
    <w:p>
      <w:pPr>
        <w:pBdr>
          <w:bottom w:val="single" w:color="2D3561" w:sz="6"/>
        </w:pBdr>
        <w:spacing w:before="0" w:after="0"/>
      </w:pPr>
    </w:p>
    <w:p>
      <w:pPr>
        <w:spacing w:before="200" w:after="100"/>
      </w:pPr>
    </w:p>
    <w:p>
      <w:pPr>
        <w:spacing w:before="0" w:after="80"/>
        <w:jc w:val="left"/>
      </w:pPr>
      <w:r>
        <w:rPr>
          <w:rFonts w:ascii="Arial" w:cs="Arial" w:eastAsia="Arial" w:hAnsi="Arial"/>
          <w:b/>
          <w:bCs/>
          <w:color w:val="2D3561"/>
          <w:sz w:val="26"/>
          <w:szCs w:val="26"/>
        </w:rPr>
        <w:t xml:space="preserve">Listening describes the past.</w:t>
      </w:r>
    </w:p>
    <w:p>
      <w:pPr>
        <w:spacing w:before="0" w:after="200"/>
        <w:jc w:val="left"/>
      </w:pPr>
      <w:r>
        <w:rPr>
          <w:rFonts w:ascii="Arial" w:cs="Arial" w:eastAsia="Arial" w:hAnsi="Arial"/>
          <w:b/>
          <w:bCs/>
          <w:color w:val="2D3561"/>
          <w:sz w:val="26"/>
          <w:szCs w:val="26"/>
        </w:rPr>
        <w:t xml:space="preserve">Learning determines the future.</w:t>
      </w:r>
    </w:p>
    <w:p>
      <w:pPr>
        <w:spacing w:before="100" w:after="160" w:line="320" w:lineRule="auto"/>
        <w:jc w:val="left"/>
      </w:pPr>
      <w:r>
        <w:rPr>
          <w:rFonts w:ascii="Arial" w:cs="Arial" w:eastAsia="Arial" w:hAnsi="Arial"/>
          <w:b w:val="false"/>
          <w:bCs w:val="false"/>
          <w:i w:val="false"/>
          <w:iCs w:val="false"/>
          <w:color w:val="6B7A99"/>
          <w:sz w:val="22"/>
          <w:szCs w:val="22"/>
        </w:rPr>
        <w:t xml:space="preserve">DecipherOS is the infrastructure that makes the transition from one to the other permanent, auditable, and compounding.</w:t>
      </w:r>
    </w:p>
    <w:p>
      <w:pPr>
        <w:spacing w:before="200" w:after="120"/>
      </w:pPr>
    </w:p>
    <w:p>
      <w:pPr>
        <w:pBdr>
          <w:bottom w:val="single" w:color="C0C8D8" w:sz="6"/>
        </w:pBdr>
        <w:spacing w:before="0" w:after="0"/>
      </w:pPr>
    </w:p>
    <w:p>
      <w:pPr>
        <w:spacing w:before="120" w:after="120"/>
      </w:pPr>
    </w:p>
    <w:p>
      <w:pPr>
        <w:spacing w:before="100" w:after="160" w:line="320" w:lineRule="auto"/>
        <w:jc w:val="center"/>
      </w:pPr>
      <w:r>
        <w:rPr>
          <w:rFonts w:ascii="Arial" w:cs="Arial" w:eastAsia="Arial" w:hAnsi="Arial"/>
          <w:b w:val="false"/>
          <w:bCs w:val="false"/>
          <w:i w:val="false"/>
          <w:iCs w:val="false"/>
          <w:color w:val="6B7A99"/>
          <w:sz w:val="22"/>
          <w:szCs w:val="22"/>
        </w:rPr>
        <w:t xml:space="preserve">Raheem Asghar  |  Founder &amp; Architect, Decipher  |  2025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4"/>
      </w:pBdr>
      <w:spacing w:before="100" w:after="0"/>
      <w:jc w:val="right"/>
    </w:pPr>
    <w:r>
      <w:rPr>
        <w:rFonts w:ascii="Arial" w:cs="Arial" w:eastAsia="Arial" w:hAnsi="Arial"/>
        <w:color w:val="6B7A99"/>
        <w:sz w:val="18"/>
        <w:szCs w:val="18"/>
      </w:rPr>
      <w:t xml:space="preserve">Confidential  |  </w:t>
    </w:r>
    <w:r>
      <w:rPr>
        <w:rFonts w:ascii="Arial" w:cs="Arial" w:eastAsia="Arial" w:hAnsi="Arial"/>
        <w:color w:val="6B7A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D8" w:sz="4"/>
      </w:pBdr>
      <w:spacing w:before="0" w:after="100"/>
    </w:pPr>
    <w:r>
      <w:rPr>
        <w:rFonts w:ascii="Arial" w:cs="Arial" w:eastAsia="Arial" w:hAnsi="Arial"/>
        <w:color w:val="6B7A99"/>
        <w:sz w:val="18"/>
        <w:szCs w:val="18"/>
      </w:rPr>
      <w:t xml:space="preserve">DECIPHER  —  Architectural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3561"/>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2026-02-20T14:48:42.873Z</dcterms:created>
  <dcterms:modified xsi:type="dcterms:W3CDTF">2026-02-20T14:48:42.873Z</dcterms:modified>
</cp:coreProperties>
</file>

<file path=docProps/custom.xml><?xml version="1.0" encoding="utf-8"?>
<Properties xmlns="http://schemas.openxmlformats.org/officeDocument/2006/custom-properties" xmlns:vt="http://schemas.openxmlformats.org/officeDocument/2006/docPropsVTypes"/>
</file>