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Security Risk Assessment</w:t>
      </w:r>
    </w:p>
    <w:p>
      <w:pPr>
        <w:pStyle w:val="Heading1"/>
        <w:spacing w:after="300" w:before="100"/>
      </w:pPr>
      <w:r>
        <w:rPr>
          <w:i/>
          <w:iCs/>
          <w:sz w:val="28"/>
          <w:szCs w:val="28"/>
        </w:rPr>
        <w:t xml:space="preserve">CloudCart (Fictional E-Commerce Business)</w:t>
      </w:r>
    </w:p>
    <w:p>
      <w:pPr>
        <w:spacing w:after="150"/>
      </w:pPr>
      <w:r>
        <w:t xml:space="preserve">This assessment evaluates the cybersecurity risks facing CloudCart, a fictional small e-commerce business with approximately 15 employees, an online store handling customer payment data, an in-house IT and development team, and a small number of third-party vendors including a payment processor and a hosting provider.</w:t>
      </w:r>
    </w:p>
    <w:p>
      <w:pPr>
        <w:pStyle w:val="Heading2"/>
        <w:spacing w:after="150" w:before="300"/>
      </w:pPr>
      <w:r>
        <w:t xml:space="preserve">Methodology</w:t>
      </w:r>
    </w:p>
    <w:p>
      <w:pPr>
        <w:spacing w:after="150"/>
      </w:pPr>
      <w:r>
        <w:t xml:space="preserve">Each identified risk was rated on two dimensions: Likelihood (how probable the risk is to occur) and Impact (how severe the consequences would be if it did). These two ratings combine into an Overall Risk rating, following standard risk-matrix methodology. Recommended controls for each risk are then mapped to the relevant function within the NIST Cybersecurity Framework (CSF): Identify, Protect, Detect, Respond, or Recover.</w:t>
      </w:r>
    </w:p>
    <w:p>
      <w:pPr>
        <w:pStyle w:val="Heading2"/>
        <w:spacing w:after="150" w:before="300"/>
      </w:pPr>
      <w:r>
        <w:t xml:space="preserve">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00"/>
        <w:gridCol w:w="1400"/>
        <w:gridCol w:w="1500"/>
      </w:tblGrid>
      <w:tr>
        <w:tc>
          <w:tcPr>
            <w:tcW w:type="dxa" w:w="500"/>
            <w:shd w:fill="D9E2F3" w:val="clear"/>
          </w:tcPr>
          <w:p>
            <w:r>
              <w:rPr>
                <w:b/>
                <w:bCs/>
              </w:rPr>
              <w:t xml:space="preserve">#</w:t>
            </w:r>
          </w:p>
        </w:tc>
        <w:tc>
          <w:tcPr>
            <w:tcW w:type="dxa" w:w="3200"/>
            <w:shd w:fill="D9E2F3" w:val="clear"/>
          </w:tcPr>
          <w:p>
            <w:r>
              <w:rPr>
                <w:b/>
                <w:bCs/>
              </w:rPr>
              <w:t xml:space="preserve">Risk</w:t>
            </w:r>
          </w:p>
        </w:tc>
        <w:tc>
          <w:tcPr>
            <w:tcW w:type="dxa" w:w="1400"/>
            <w:shd w:fill="D9E2F3" w:val="clear"/>
          </w:tcPr>
          <w:p>
            <w:r>
              <w:rPr>
                <w:b/>
                <w:bCs/>
              </w:rPr>
              <w:t xml:space="preserve">Likelihood</w:t>
            </w:r>
          </w:p>
        </w:tc>
        <w:tc>
          <w:tcPr>
            <w:tcW w:type="dxa" w:w="1400"/>
            <w:shd w:fill="D9E2F3" w:val="clear"/>
          </w:tcPr>
          <w:p>
            <w:r>
              <w:rPr>
                <w:b/>
                <w:bCs/>
              </w:rPr>
              <w:t xml:space="preserve">Impact</w:t>
            </w:r>
          </w:p>
        </w:tc>
        <w:tc>
          <w:tcPr>
            <w:tcW w:type="dxa" w:w="1500"/>
            <w:shd w:fill="D9E2F3" w:val="clear"/>
          </w:tcPr>
          <w:p>
            <w:r>
              <w:rPr>
                <w:b/>
                <w:bCs/>
              </w:rPr>
              <w:t xml:space="preserve">Overall Risk</w:t>
            </w:r>
          </w:p>
        </w:tc>
      </w:tr>
      <w:tr>
        <w:tc>
          <w:tcPr>
            <w:tcW w:type="dxa" w:w="500"/>
          </w:tcPr>
          <w:p>
            <w:r>
              <w:rPr>
                <w:b w:val="false"/>
                <w:bCs w:val="false"/>
              </w:rPr>
              <w:t xml:space="preserve">1</w:t>
            </w:r>
          </w:p>
        </w:tc>
        <w:tc>
          <w:tcPr>
            <w:tcW w:type="dxa" w:w="3200"/>
          </w:tcPr>
          <w:p>
            <w:r>
              <w:rPr>
                <w:b w:val="false"/>
                <w:bCs w:val="false"/>
              </w:rPr>
              <w:t xml:space="preserve">Customer payment data breach</w:t>
            </w:r>
          </w:p>
        </w:tc>
        <w:tc>
          <w:tcPr>
            <w:tcW w:type="dxa" w:w="1400"/>
          </w:tcPr>
          <w:p>
            <w:r>
              <w:rPr>
                <w:b w:val="false"/>
                <w:bCs w:val="false"/>
              </w:rPr>
              <w:t xml:space="preserve">Medium</w:t>
            </w:r>
          </w:p>
        </w:tc>
        <w:tc>
          <w:tcPr>
            <w:tcW w:type="dxa" w:w="1400"/>
          </w:tcPr>
          <w:p>
            <w:r>
              <w:rPr>
                <w:b w:val="false"/>
                <w:bCs w:val="false"/>
              </w:rPr>
              <w:t xml:space="preserve">High</w:t>
            </w:r>
          </w:p>
        </w:tc>
        <w:tc>
          <w:tcPr>
            <w:tcW w:type="dxa" w:w="1500"/>
          </w:tcPr>
          <w:p>
            <w:r>
              <w:rPr>
                <w:b w:val="false"/>
                <w:bCs w:val="false"/>
              </w:rPr>
              <w:t xml:space="preserve">High</w:t>
            </w:r>
          </w:p>
        </w:tc>
      </w:tr>
      <w:tr>
        <w:tc>
          <w:tcPr>
            <w:tcW w:type="dxa" w:w="500"/>
          </w:tcPr>
          <w:p>
            <w:r>
              <w:rPr>
                <w:b w:val="false"/>
                <w:bCs w:val="false"/>
              </w:rPr>
              <w:t xml:space="preserve">2</w:t>
            </w:r>
          </w:p>
        </w:tc>
        <w:tc>
          <w:tcPr>
            <w:tcW w:type="dxa" w:w="3200"/>
          </w:tcPr>
          <w:p>
            <w:r>
              <w:rPr>
                <w:b w:val="false"/>
                <w:bCs w:val="false"/>
              </w:rPr>
              <w:t xml:space="preserve">Phishing attack against employees</w:t>
            </w:r>
          </w:p>
        </w:tc>
        <w:tc>
          <w:tcPr>
            <w:tcW w:type="dxa" w:w="1400"/>
          </w:tcPr>
          <w:p>
            <w:r>
              <w:rPr>
                <w:b w:val="false"/>
                <w:bCs w:val="false"/>
              </w:rPr>
              <w:t xml:space="preserve">High</w:t>
            </w:r>
          </w:p>
        </w:tc>
        <w:tc>
          <w:tcPr>
            <w:tcW w:type="dxa" w:w="1400"/>
          </w:tcPr>
          <w:p>
            <w:r>
              <w:rPr>
                <w:b w:val="false"/>
                <w:bCs w:val="false"/>
              </w:rPr>
              <w:t xml:space="preserve">Medium</w:t>
            </w:r>
          </w:p>
        </w:tc>
        <w:tc>
          <w:tcPr>
            <w:tcW w:type="dxa" w:w="1500"/>
          </w:tcPr>
          <w:p>
            <w:r>
              <w:rPr>
                <w:b w:val="false"/>
                <w:bCs w:val="false"/>
              </w:rPr>
              <w:t xml:space="preserve">High</w:t>
            </w:r>
          </w:p>
        </w:tc>
      </w:tr>
      <w:tr>
        <w:tc>
          <w:tcPr>
            <w:tcW w:type="dxa" w:w="500"/>
          </w:tcPr>
          <w:p>
            <w:r>
              <w:rPr>
                <w:b w:val="false"/>
                <w:bCs w:val="false"/>
              </w:rPr>
              <w:t xml:space="preserve">3</w:t>
            </w:r>
          </w:p>
        </w:tc>
        <w:tc>
          <w:tcPr>
            <w:tcW w:type="dxa" w:w="3200"/>
          </w:tcPr>
          <w:p>
            <w:r>
              <w:rPr>
                <w:b w:val="false"/>
                <w:bCs w:val="false"/>
              </w:rPr>
              <w:t xml:space="preserve">Ransomware infection</w:t>
            </w:r>
          </w:p>
        </w:tc>
        <w:tc>
          <w:tcPr>
            <w:tcW w:type="dxa" w:w="1400"/>
          </w:tcPr>
          <w:p>
            <w:r>
              <w:rPr>
                <w:b w:val="false"/>
                <w:bCs w:val="false"/>
              </w:rPr>
              <w:t xml:space="preserve">Medium</w:t>
            </w:r>
          </w:p>
        </w:tc>
        <w:tc>
          <w:tcPr>
            <w:tcW w:type="dxa" w:w="1400"/>
          </w:tcPr>
          <w:p>
            <w:r>
              <w:rPr>
                <w:b w:val="false"/>
                <w:bCs w:val="false"/>
              </w:rPr>
              <w:t xml:space="preserve">High</w:t>
            </w:r>
          </w:p>
        </w:tc>
        <w:tc>
          <w:tcPr>
            <w:tcW w:type="dxa" w:w="1500"/>
          </w:tcPr>
          <w:p>
            <w:r>
              <w:rPr>
                <w:b w:val="false"/>
                <w:bCs w:val="false"/>
              </w:rPr>
              <w:t xml:space="preserve">High</w:t>
            </w:r>
          </w:p>
        </w:tc>
      </w:tr>
      <w:tr>
        <w:tc>
          <w:tcPr>
            <w:tcW w:type="dxa" w:w="500"/>
          </w:tcPr>
          <w:p>
            <w:r>
              <w:rPr>
                <w:b w:val="false"/>
                <w:bCs w:val="false"/>
              </w:rPr>
              <w:t xml:space="preserve">4</w:t>
            </w:r>
          </w:p>
        </w:tc>
        <w:tc>
          <w:tcPr>
            <w:tcW w:type="dxa" w:w="3200"/>
          </w:tcPr>
          <w:p>
            <w:r>
              <w:rPr>
                <w:b w:val="false"/>
                <w:bCs w:val="false"/>
              </w:rPr>
              <w:t xml:space="preserve">Weak or reused employee passwords</w:t>
            </w:r>
          </w:p>
        </w:tc>
        <w:tc>
          <w:tcPr>
            <w:tcW w:type="dxa" w:w="1400"/>
          </w:tcPr>
          <w:p>
            <w:r>
              <w:rPr>
                <w:b w:val="false"/>
                <w:bCs w:val="false"/>
              </w:rPr>
              <w:t xml:space="preserve">High</w:t>
            </w:r>
          </w:p>
        </w:tc>
        <w:tc>
          <w:tcPr>
            <w:tcW w:type="dxa" w:w="1400"/>
          </w:tcPr>
          <w:p>
            <w:r>
              <w:rPr>
                <w:b w:val="false"/>
                <w:bCs w:val="false"/>
              </w:rPr>
              <w:t xml:space="preserve">Medium</w:t>
            </w:r>
          </w:p>
        </w:tc>
        <w:tc>
          <w:tcPr>
            <w:tcW w:type="dxa" w:w="1500"/>
          </w:tcPr>
          <w:p>
            <w:r>
              <w:rPr>
                <w:b w:val="false"/>
                <w:bCs w:val="false"/>
              </w:rPr>
              <w:t xml:space="preserve">High</w:t>
            </w:r>
          </w:p>
        </w:tc>
      </w:tr>
      <w:tr>
        <w:tc>
          <w:tcPr>
            <w:tcW w:type="dxa" w:w="500"/>
          </w:tcPr>
          <w:p>
            <w:r>
              <w:rPr>
                <w:b w:val="false"/>
                <w:bCs w:val="false"/>
              </w:rPr>
              <w:t xml:space="preserve">5</w:t>
            </w:r>
          </w:p>
        </w:tc>
        <w:tc>
          <w:tcPr>
            <w:tcW w:type="dxa" w:w="3200"/>
          </w:tcPr>
          <w:p>
            <w:r>
              <w:rPr>
                <w:b w:val="false"/>
                <w:bCs w:val="false"/>
              </w:rPr>
              <w:t xml:space="preserve">Unpatched software or systems</w:t>
            </w:r>
          </w:p>
        </w:tc>
        <w:tc>
          <w:tcPr>
            <w:tcW w:type="dxa" w:w="1400"/>
          </w:tcPr>
          <w:p>
            <w:r>
              <w:rPr>
                <w:b w:val="false"/>
                <w:bCs w:val="false"/>
              </w:rPr>
              <w:t xml:space="preserve">Medium</w:t>
            </w:r>
          </w:p>
        </w:tc>
        <w:tc>
          <w:tcPr>
            <w:tcW w:type="dxa" w:w="1400"/>
          </w:tcPr>
          <w:p>
            <w:r>
              <w:rPr>
                <w:b w:val="false"/>
                <w:bCs w:val="false"/>
              </w:rPr>
              <w:t xml:space="preserve">Medium</w:t>
            </w:r>
          </w:p>
        </w:tc>
        <w:tc>
          <w:tcPr>
            <w:tcW w:type="dxa" w:w="1500"/>
          </w:tcPr>
          <w:p>
            <w:r>
              <w:rPr>
                <w:b w:val="false"/>
                <w:bCs w:val="false"/>
              </w:rPr>
              <w:t xml:space="preserve">Medium</w:t>
            </w:r>
          </w:p>
        </w:tc>
      </w:tr>
      <w:tr>
        <w:tc>
          <w:tcPr>
            <w:tcW w:type="dxa" w:w="500"/>
          </w:tcPr>
          <w:p>
            <w:r>
              <w:rPr>
                <w:b w:val="false"/>
                <w:bCs w:val="false"/>
              </w:rPr>
              <w:t xml:space="preserve">6</w:t>
            </w:r>
          </w:p>
        </w:tc>
        <w:tc>
          <w:tcPr>
            <w:tcW w:type="dxa" w:w="3200"/>
          </w:tcPr>
          <w:p>
            <w:r>
              <w:rPr>
                <w:b w:val="false"/>
                <w:bCs w:val="false"/>
              </w:rPr>
              <w:t xml:space="preserve">Lost or stolen employee laptop</w:t>
            </w:r>
          </w:p>
        </w:tc>
        <w:tc>
          <w:tcPr>
            <w:tcW w:type="dxa" w:w="1400"/>
          </w:tcPr>
          <w:p>
            <w:r>
              <w:rPr>
                <w:b w:val="false"/>
                <w:bCs w:val="false"/>
              </w:rPr>
              <w:t xml:space="preserve">Medium</w:t>
            </w:r>
          </w:p>
        </w:tc>
        <w:tc>
          <w:tcPr>
            <w:tcW w:type="dxa" w:w="1400"/>
          </w:tcPr>
          <w:p>
            <w:r>
              <w:rPr>
                <w:b w:val="false"/>
                <w:bCs w:val="false"/>
              </w:rPr>
              <w:t xml:space="preserve">Medium</w:t>
            </w:r>
          </w:p>
        </w:tc>
        <w:tc>
          <w:tcPr>
            <w:tcW w:type="dxa" w:w="1500"/>
          </w:tcPr>
          <w:p>
            <w:r>
              <w:rPr>
                <w:b w:val="false"/>
                <w:bCs w:val="false"/>
              </w:rPr>
              <w:t xml:space="preserve">Medium</w:t>
            </w:r>
          </w:p>
        </w:tc>
      </w:tr>
      <w:tr>
        <w:tc>
          <w:tcPr>
            <w:tcW w:type="dxa" w:w="500"/>
          </w:tcPr>
          <w:p>
            <w:r>
              <w:rPr>
                <w:b w:val="false"/>
                <w:bCs w:val="false"/>
              </w:rPr>
              <w:t xml:space="preserve">7</w:t>
            </w:r>
          </w:p>
        </w:tc>
        <w:tc>
          <w:tcPr>
            <w:tcW w:type="dxa" w:w="3200"/>
          </w:tcPr>
          <w:p>
            <w:r>
              <w:rPr>
                <w:b w:val="false"/>
                <w:bCs w:val="false"/>
              </w:rPr>
              <w:t xml:space="preserve">Third-party vendor (payment processor) compromise</w:t>
            </w:r>
          </w:p>
        </w:tc>
        <w:tc>
          <w:tcPr>
            <w:tcW w:type="dxa" w:w="1400"/>
          </w:tcPr>
          <w:p>
            <w:r>
              <w:rPr>
                <w:b w:val="false"/>
                <w:bCs w:val="false"/>
              </w:rPr>
              <w:t xml:space="preserve">Low</w:t>
            </w:r>
          </w:p>
        </w:tc>
        <w:tc>
          <w:tcPr>
            <w:tcW w:type="dxa" w:w="1400"/>
          </w:tcPr>
          <w:p>
            <w:r>
              <w:rPr>
                <w:b w:val="false"/>
                <w:bCs w:val="false"/>
              </w:rPr>
              <w:t xml:space="preserve">High</w:t>
            </w:r>
          </w:p>
        </w:tc>
        <w:tc>
          <w:tcPr>
            <w:tcW w:type="dxa" w:w="1500"/>
          </w:tcPr>
          <w:p>
            <w:r>
              <w:rPr>
                <w:b w:val="false"/>
                <w:bCs w:val="false"/>
              </w:rPr>
              <w:t xml:space="preserve">Medium</w:t>
            </w:r>
          </w:p>
        </w:tc>
      </w:tr>
      <w:tr>
        <w:tc>
          <w:tcPr>
            <w:tcW w:type="dxa" w:w="500"/>
          </w:tcPr>
          <w:p>
            <w:r>
              <w:rPr>
                <w:b w:val="false"/>
                <w:bCs w:val="false"/>
              </w:rPr>
              <w:t xml:space="preserve">8</w:t>
            </w:r>
          </w:p>
        </w:tc>
        <w:tc>
          <w:tcPr>
            <w:tcW w:type="dxa" w:w="3200"/>
          </w:tcPr>
          <w:p>
            <w:r>
              <w:rPr>
                <w:b w:val="false"/>
                <w:bCs w:val="false"/>
              </w:rPr>
              <w:t xml:space="preserve">Insider data theft or misuse</w:t>
            </w:r>
          </w:p>
        </w:tc>
        <w:tc>
          <w:tcPr>
            <w:tcW w:type="dxa" w:w="1400"/>
          </w:tcPr>
          <w:p>
            <w:r>
              <w:rPr>
                <w:b w:val="false"/>
                <w:bCs w:val="false"/>
              </w:rPr>
              <w:t xml:space="preserve">Low</w:t>
            </w:r>
          </w:p>
        </w:tc>
        <w:tc>
          <w:tcPr>
            <w:tcW w:type="dxa" w:w="1400"/>
          </w:tcPr>
          <w:p>
            <w:r>
              <w:rPr>
                <w:b w:val="false"/>
                <w:bCs w:val="false"/>
              </w:rPr>
              <w:t xml:space="preserve">Medium</w:t>
            </w:r>
          </w:p>
        </w:tc>
        <w:tc>
          <w:tcPr>
            <w:tcW w:type="dxa" w:w="1500"/>
          </w:tcPr>
          <w:p>
            <w:r>
              <w:rPr>
                <w:b w:val="false"/>
                <w:bCs w:val="false"/>
              </w:rPr>
              <w:t xml:space="preserve">Low</w:t>
            </w:r>
          </w:p>
        </w:tc>
      </w:tr>
    </w:tbl>
    <w:p>
      <w:pPr>
        <w:spacing w:before="300"/>
      </w:pPr>
    </w:p>
    <w:p>
      <w:pPr>
        <w:pStyle w:val="Heading2"/>
        <w:spacing w:after="150" w:before="300"/>
      </w:pPr>
      <w:r>
        <w:t xml:space="preserve">Recommended Controls (Mapped to NIST CSF)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c>
          <w:tcPr>
            <w:tcW w:type="dxa" w:w="2500"/>
            <w:shd w:fill="D9E2F3" w:val="clear"/>
          </w:tcPr>
          <w:p>
            <w:r>
              <w:rPr>
                <w:b/>
                <w:bCs/>
              </w:rPr>
              <w:t xml:space="preserve">Risk</w:t>
            </w:r>
          </w:p>
        </w:tc>
        <w:tc>
          <w:tcPr>
            <w:tcW w:type="dxa" w:w="4000"/>
            <w:shd w:fill="D9E2F3" w:val="clear"/>
          </w:tcPr>
          <w:p>
            <w:r>
              <w:rPr>
                <w:b/>
                <w:bCs/>
              </w:rPr>
              <w:t xml:space="preserve">Recommended Control</w:t>
            </w:r>
          </w:p>
        </w:tc>
        <w:tc>
          <w:tcPr>
            <w:tcW w:type="dxa" w:w="2500"/>
            <w:shd w:fill="D9E2F3" w:val="clear"/>
          </w:tcPr>
          <w:p>
            <w:r>
              <w:rPr>
                <w:b/>
                <w:bCs/>
              </w:rPr>
              <w:t xml:space="preserve">NIST CSF Function</w:t>
            </w:r>
          </w:p>
        </w:tc>
      </w:tr>
      <w:tr>
        <w:tc>
          <w:tcPr>
            <w:tcW w:type="dxa" w:w="2500"/>
          </w:tcPr>
          <w:p>
            <w:r>
              <w:rPr>
                <w:b w:val="false"/>
                <w:bCs w:val="false"/>
              </w:rPr>
              <w:t xml:space="preserve">Payment data breach</w:t>
            </w:r>
          </w:p>
        </w:tc>
        <w:tc>
          <w:tcPr>
            <w:tcW w:type="dxa" w:w="4000"/>
          </w:tcPr>
          <w:p>
            <w:r>
              <w:rPr>
                <w:b w:val="false"/>
                <w:bCs w:val="false"/>
              </w:rPr>
              <w:t xml:space="preserve">Encrypt payment data at rest and in transit; restrict access to only staff who need it (least privilege)</w:t>
            </w:r>
          </w:p>
        </w:tc>
        <w:tc>
          <w:tcPr>
            <w:tcW w:type="dxa" w:w="2500"/>
          </w:tcPr>
          <w:p>
            <w:r>
              <w:rPr>
                <w:b w:val="false"/>
                <w:bCs w:val="false"/>
              </w:rPr>
              <w:t xml:space="preserve">Protect</w:t>
            </w:r>
          </w:p>
        </w:tc>
      </w:tr>
      <w:tr>
        <w:tc>
          <w:tcPr>
            <w:tcW w:type="dxa" w:w="2500"/>
          </w:tcPr>
          <w:p>
            <w:r>
              <w:rPr>
                <w:b w:val="false"/>
                <w:bCs w:val="false"/>
              </w:rPr>
              <w:t xml:space="preserve">Phishing</w:t>
            </w:r>
          </w:p>
        </w:tc>
        <w:tc>
          <w:tcPr>
            <w:tcW w:type="dxa" w:w="4000"/>
          </w:tcPr>
          <w:p>
            <w:r>
              <w:rPr>
                <w:b w:val="false"/>
                <w:bCs w:val="false"/>
              </w:rPr>
              <w:t xml:space="preserve">Security awareness training; email filtering and anti-phishing gateway</w:t>
            </w:r>
          </w:p>
        </w:tc>
        <w:tc>
          <w:tcPr>
            <w:tcW w:type="dxa" w:w="2500"/>
          </w:tcPr>
          <w:p>
            <w:r>
              <w:rPr>
                <w:b w:val="false"/>
                <w:bCs w:val="false"/>
              </w:rPr>
              <w:t xml:space="preserve">Protect</w:t>
            </w:r>
          </w:p>
        </w:tc>
      </w:tr>
      <w:tr>
        <w:tc>
          <w:tcPr>
            <w:tcW w:type="dxa" w:w="2500"/>
          </w:tcPr>
          <w:p>
            <w:r>
              <w:rPr>
                <w:b w:val="false"/>
                <w:bCs w:val="false"/>
              </w:rPr>
              <w:t xml:space="preserve">Ransomware</w:t>
            </w:r>
          </w:p>
        </w:tc>
        <w:tc>
          <w:tcPr>
            <w:tcW w:type="dxa" w:w="4000"/>
          </w:tcPr>
          <w:p>
            <w:r>
              <w:rPr>
                <w:b w:val="false"/>
                <w:bCs w:val="false"/>
              </w:rPr>
              <w:t xml:space="preserve">Offline or immutable backups tested regularly; endpoint detection and response (EDR)</w:t>
            </w:r>
          </w:p>
        </w:tc>
        <w:tc>
          <w:tcPr>
            <w:tcW w:type="dxa" w:w="2500"/>
          </w:tcPr>
          <w:p>
            <w:r>
              <w:rPr>
                <w:b w:val="false"/>
                <w:bCs w:val="false"/>
              </w:rPr>
              <w:t xml:space="preserve">Protect, Recover</w:t>
            </w:r>
          </w:p>
        </w:tc>
      </w:tr>
      <w:tr>
        <w:tc>
          <w:tcPr>
            <w:tcW w:type="dxa" w:w="2500"/>
          </w:tcPr>
          <w:p>
            <w:r>
              <w:rPr>
                <w:b w:val="false"/>
                <w:bCs w:val="false"/>
              </w:rPr>
              <w:t xml:space="preserve">Weak passwords</w:t>
            </w:r>
          </w:p>
        </w:tc>
        <w:tc>
          <w:tcPr>
            <w:tcW w:type="dxa" w:w="4000"/>
          </w:tcPr>
          <w:p>
            <w:r>
              <w:rPr>
                <w:b w:val="false"/>
                <w:bCs w:val="false"/>
              </w:rPr>
              <w:t xml:space="preserve">Enforce MFA account-wide; adopt a password manager</w:t>
            </w:r>
          </w:p>
        </w:tc>
        <w:tc>
          <w:tcPr>
            <w:tcW w:type="dxa" w:w="2500"/>
          </w:tcPr>
          <w:p>
            <w:r>
              <w:rPr>
                <w:b w:val="false"/>
                <w:bCs w:val="false"/>
              </w:rPr>
              <w:t xml:space="preserve">Protect</w:t>
            </w:r>
          </w:p>
        </w:tc>
      </w:tr>
      <w:tr>
        <w:tc>
          <w:tcPr>
            <w:tcW w:type="dxa" w:w="2500"/>
          </w:tcPr>
          <w:p>
            <w:r>
              <w:rPr>
                <w:b w:val="false"/>
                <w:bCs w:val="false"/>
              </w:rPr>
              <w:t xml:space="preserve">Unpatched software</w:t>
            </w:r>
          </w:p>
        </w:tc>
        <w:tc>
          <w:tcPr>
            <w:tcW w:type="dxa" w:w="4000"/>
          </w:tcPr>
          <w:p>
            <w:r>
              <w:rPr>
                <w:b w:val="false"/>
                <w:bCs w:val="false"/>
              </w:rPr>
              <w:t xml:space="preserve">Formal patch management schedule; regular vulnerability scanning</w:t>
            </w:r>
          </w:p>
        </w:tc>
        <w:tc>
          <w:tcPr>
            <w:tcW w:type="dxa" w:w="2500"/>
          </w:tcPr>
          <w:p>
            <w:r>
              <w:rPr>
                <w:b w:val="false"/>
                <w:bCs w:val="false"/>
              </w:rPr>
              <w:t xml:space="preserve">Identify, Protect</w:t>
            </w:r>
          </w:p>
        </w:tc>
      </w:tr>
      <w:tr>
        <w:tc>
          <w:tcPr>
            <w:tcW w:type="dxa" w:w="2500"/>
          </w:tcPr>
          <w:p>
            <w:r>
              <w:rPr>
                <w:b w:val="false"/>
                <w:bCs w:val="false"/>
              </w:rPr>
              <w:t xml:space="preserve">Lost or stolen laptop</w:t>
            </w:r>
          </w:p>
        </w:tc>
        <w:tc>
          <w:tcPr>
            <w:tcW w:type="dxa" w:w="4000"/>
          </w:tcPr>
          <w:p>
            <w:r>
              <w:rPr>
                <w:b w:val="false"/>
                <w:bCs w:val="false"/>
              </w:rPr>
              <w:t xml:space="preserve">Full-disk encryption; remote wipe capability</w:t>
            </w:r>
          </w:p>
        </w:tc>
        <w:tc>
          <w:tcPr>
            <w:tcW w:type="dxa" w:w="2500"/>
          </w:tcPr>
          <w:p>
            <w:r>
              <w:rPr>
                <w:b w:val="false"/>
                <w:bCs w:val="false"/>
              </w:rPr>
              <w:t xml:space="preserve">Protect</w:t>
            </w:r>
          </w:p>
        </w:tc>
      </w:tr>
      <w:tr>
        <w:tc>
          <w:tcPr>
            <w:tcW w:type="dxa" w:w="2500"/>
          </w:tcPr>
          <w:p>
            <w:r>
              <w:rPr>
                <w:b w:val="false"/>
                <w:bCs w:val="false"/>
              </w:rPr>
              <w:t xml:space="preserve">Vendor compromise</w:t>
            </w:r>
          </w:p>
        </w:tc>
        <w:tc>
          <w:tcPr>
            <w:tcW w:type="dxa" w:w="4000"/>
          </w:tcPr>
          <w:p>
            <w:r>
              <w:rPr>
                <w:b w:val="false"/>
                <w:bCs w:val="false"/>
              </w:rPr>
              <w:t xml:space="preserve">Vendor security review before onboarding; contractual security requirements</w:t>
            </w:r>
          </w:p>
        </w:tc>
        <w:tc>
          <w:tcPr>
            <w:tcW w:type="dxa" w:w="2500"/>
          </w:tcPr>
          <w:p>
            <w:r>
              <w:rPr>
                <w:b w:val="false"/>
                <w:bCs w:val="false"/>
              </w:rPr>
              <w:t xml:space="preserve">Identify</w:t>
            </w:r>
          </w:p>
        </w:tc>
      </w:tr>
      <w:tr>
        <w:tc>
          <w:tcPr>
            <w:tcW w:type="dxa" w:w="2500"/>
          </w:tcPr>
          <w:p>
            <w:r>
              <w:rPr>
                <w:b w:val="false"/>
                <w:bCs w:val="false"/>
              </w:rPr>
              <w:t xml:space="preserve">Insider misuse</w:t>
            </w:r>
          </w:p>
        </w:tc>
        <w:tc>
          <w:tcPr>
            <w:tcW w:type="dxa" w:w="4000"/>
          </w:tcPr>
          <w:p>
            <w:r>
              <w:rPr>
                <w:b w:val="false"/>
                <w:bCs w:val="false"/>
              </w:rPr>
              <w:t xml:space="preserve">Access logging and monitoring; role-based access control</w:t>
            </w:r>
          </w:p>
        </w:tc>
        <w:tc>
          <w:tcPr>
            <w:tcW w:type="dxa" w:w="2500"/>
          </w:tcPr>
          <w:p>
            <w:r>
              <w:rPr>
                <w:b w:val="false"/>
                <w:bCs w:val="false"/>
              </w:rPr>
              <w:t xml:space="preserve">Detect</w:t>
            </w:r>
          </w:p>
        </w:tc>
      </w:tr>
    </w:tbl>
    <w:p>
      <w:pPr>
        <w:spacing w:before="300"/>
      </w:pPr>
    </w:p>
    <w:p>
      <w:pPr>
        <w:pStyle w:val="Heading2"/>
        <w:spacing w:after="150" w:before="300"/>
      </w:pPr>
      <w:r>
        <w:t xml:space="preserve">Summary and Prioritization</w:t>
      </w:r>
    </w:p>
    <w:p>
      <w:pPr>
        <w:spacing w:after="150"/>
      </w:pPr>
      <w:r>
        <w:t xml:space="preserve">Four risks were rated High: customer payment data breach, phishing, ransomware, and weak or reused passwords. These should be the immediate priority for remediation, given their combination of realistic likelihood and severe potential impact on the business, its customers, and its regulatory obligations around payment data.</w:t>
      </w:r>
    </w:p>
    <w:p>
      <w:pPr>
        <w:spacing w:after="150"/>
      </w:pPr>
      <w:r>
        <w:t xml:space="preserve">Three risks were rated Medium: unpatched software, lost or stolen devices, and third-party vendor compromise. These warrant a documented remediation timeline but are not immediate emergencies.</w:t>
      </w:r>
    </w:p>
    <w:p>
      <w:pPr>
        <w:spacing w:after="150"/>
      </w:pPr>
      <w:r>
        <w:t xml:space="preserve">Insider data theft was rated Low, reflecting its lower likelihood in a small organization, though basic access logging and monitoring controls are still recommended as a proportionate response.</w:t>
      </w:r>
    </w:p>
    <w:p>
      <w:pPr>
        <w:pStyle w:val="Heading2"/>
        <w:spacing w:after="150" w:before="300"/>
      </w:pPr>
      <w:r>
        <w:t xml:space="preserve">Why NIST CSF</w:t>
      </w:r>
    </w:p>
    <w:p>
      <w:pPr>
        <w:spacing w:after="150"/>
      </w:pPr>
      <w:r>
        <w:t xml:space="preserve">The NIST Cybersecurity Framework was chosen because it is free, widely recognized across industries, and provides a common vocabulary for discussing security posture with both technical and non-technical stakeholders. Mapping each control to one of its five functions makes clear not just what should be done, but which stage of the security lifecycle it addresses.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2026-09-02T22:03:39.498Z</dcterms:created>
  <dcterms:modified xsi:type="dcterms:W3CDTF">2026-09-02T22:03:39.510Z</dcterms:modified>
</cp:coreProperties>
</file>

<file path=docProps/custom.xml><?xml version="1.0" encoding="utf-8"?>
<Properties xmlns="http://schemas.openxmlformats.org/officeDocument/2006/custom-properties" xmlns:vt="http://schemas.openxmlformats.org/officeDocument/2006/docPropsVTypes"/>
</file>