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EBFF" w14:textId="5967B370" w:rsidR="000B5232" w:rsidRPr="005D0C03" w:rsidRDefault="006D38B3" w:rsidP="00CA213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4"/>
          <w:szCs w:val="24"/>
        </w:rPr>
      </w:pPr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Modul </w:t>
      </w:r>
      <w:proofErr w:type="gramStart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4 </w:t>
      </w:r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9C692D" w:rsidRPr="005D0C03">
        <w:rPr>
          <w:rFonts w:ascii="Arial" w:eastAsia="Arial" w:hAnsi="Arial" w:cs="Arial"/>
          <w:b/>
          <w:bCs/>
          <w:sz w:val="24"/>
          <w:szCs w:val="24"/>
        </w:rPr>
        <w:t>Pemilihan</w:t>
      </w:r>
      <w:proofErr w:type="spellEnd"/>
      <w:r w:rsidR="009C692D"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9C692D" w:rsidRPr="005D0C03">
        <w:rPr>
          <w:rFonts w:ascii="Arial" w:eastAsia="Arial" w:hAnsi="Arial" w:cs="Arial"/>
          <w:b/>
          <w:bCs/>
          <w:sz w:val="24"/>
          <w:szCs w:val="24"/>
        </w:rPr>
        <w:t>Penyedia</w:t>
      </w:r>
      <w:proofErr w:type="spellEnd"/>
      <w:r w:rsidR="009C692D" w:rsidRPr="005D0C03">
        <w:rPr>
          <w:rFonts w:ascii="Arial" w:eastAsia="Arial" w:hAnsi="Arial" w:cs="Arial"/>
          <w:b/>
          <w:bCs/>
          <w:sz w:val="24"/>
          <w:szCs w:val="24"/>
        </w:rPr>
        <w:t xml:space="preserve"> PBJP Level 1</w:t>
      </w:r>
    </w:p>
    <w:p w14:paraId="183254F4" w14:textId="77777777" w:rsidR="000B5232" w:rsidRPr="005D0C03" w:rsidRDefault="009C6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1011C2F2" wp14:editId="1470730B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80000"/>
                          <a:ext cx="6359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47D134" w14:textId="4EDBF385" w:rsidR="000B5232" w:rsidRPr="005D0C03" w:rsidRDefault="009C692D" w:rsidP="00CA2139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 w:rsidRPr="005D0C03">
        <w:rPr>
          <w:rFonts w:ascii="Arial" w:eastAsia="Arial" w:hAnsi="Arial" w:cs="Arial"/>
          <w:b/>
          <w:sz w:val="24"/>
          <w:szCs w:val="24"/>
        </w:rPr>
        <w:t>Soal</w:t>
      </w:r>
      <w:proofErr w:type="spellEnd"/>
      <w:r w:rsidRPr="005D0C03">
        <w:rPr>
          <w:rFonts w:ascii="Arial" w:eastAsia="Arial" w:hAnsi="Arial" w:cs="Arial"/>
          <w:b/>
          <w:sz w:val="24"/>
          <w:szCs w:val="24"/>
        </w:rPr>
        <w:t xml:space="preserve"> </w:t>
      </w:r>
      <w:r w:rsidR="00CA2139" w:rsidRPr="005D0C03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1E3196AD" w14:textId="77777777" w:rsidR="000B5232" w:rsidRPr="005D0C03" w:rsidRDefault="009C692D">
      <w:pPr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menitikberatkan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pemenuhan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persyaratan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formal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pemenuhan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persyaratan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teknis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jasa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pemenuhan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persyaratan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harga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aspek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42A206AD" w14:textId="77777777" w:rsidR="00CA2139" w:rsidRPr="005D0C03" w:rsidRDefault="00CA2139" w:rsidP="00CA2139">
      <w:pPr>
        <w:spacing w:after="0" w:line="240" w:lineRule="auto"/>
        <w:ind w:left="66"/>
        <w:jc w:val="both"/>
        <w:rPr>
          <w:rFonts w:ascii="Arial" w:eastAsia="Arial" w:hAnsi="Arial" w:cs="Arial"/>
          <w:sz w:val="24"/>
          <w:szCs w:val="24"/>
        </w:rPr>
      </w:pPr>
    </w:p>
    <w:p w14:paraId="717038E9" w14:textId="20644B1B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0AC8EBAB" w14:textId="24066CF2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Semua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benar</w:t>
      </w:r>
      <w:proofErr w:type="spellEnd"/>
    </w:p>
    <w:p w14:paraId="5905BCB6" w14:textId="77777777" w:rsidR="000B5232" w:rsidRPr="005D0C03" w:rsidRDefault="000B5232">
      <w:pPr>
        <w:spacing w:after="0" w:line="240" w:lineRule="auto"/>
        <w:ind w:left="786"/>
        <w:jc w:val="both"/>
        <w:rPr>
          <w:rFonts w:ascii="Arial" w:eastAsia="Arial" w:hAnsi="Arial" w:cs="Arial"/>
          <w:b/>
          <w:sz w:val="24"/>
          <w:szCs w:val="24"/>
        </w:rPr>
      </w:pPr>
    </w:p>
    <w:p w14:paraId="4C2577CB" w14:textId="77777777" w:rsidR="000B5232" w:rsidRPr="005D0C03" w:rsidRDefault="009C692D">
      <w:pPr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 xml:space="preserve">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Konstruksi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jika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sanggah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dinyatakan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salah/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diterima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peserta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menyampaikan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sanggahan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setuju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jawaban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sanggah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1BB5E0BF" w14:textId="3C503930" w:rsidR="00CA2139" w:rsidRPr="005D0C03" w:rsidRDefault="00CA2139" w:rsidP="00CA2139">
      <w:pPr>
        <w:spacing w:after="0" w:line="240" w:lineRule="auto"/>
        <w:ind w:left="66"/>
        <w:jc w:val="both"/>
        <w:rPr>
          <w:rFonts w:ascii="Arial" w:eastAsia="Arial" w:hAnsi="Arial" w:cs="Arial"/>
          <w:sz w:val="24"/>
          <w:szCs w:val="24"/>
        </w:rPr>
      </w:pPr>
    </w:p>
    <w:p w14:paraId="6CAEC72B" w14:textId="66B4FEFD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1BEC1E0B" w14:textId="2B7BAEE5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Peserta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dapat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melakukan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sanggah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banding</w:t>
      </w:r>
      <w:r w:rsidR="009540C6"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2F140D0" w14:textId="77777777" w:rsidR="00CA2139" w:rsidRPr="005D0C03" w:rsidRDefault="00CA2139" w:rsidP="00CA2139">
      <w:pPr>
        <w:spacing w:after="0" w:line="240" w:lineRule="auto"/>
        <w:ind w:left="66"/>
        <w:jc w:val="both"/>
        <w:rPr>
          <w:rFonts w:ascii="Arial" w:eastAsia="Arial" w:hAnsi="Arial" w:cs="Arial"/>
          <w:sz w:val="24"/>
          <w:szCs w:val="24"/>
        </w:rPr>
      </w:pPr>
    </w:p>
    <w:p w14:paraId="4C493B93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 xml:space="preserve">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penilaian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kualifikasi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hal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bersamaan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administrasi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menggunakan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5D0C03">
        <w:rPr>
          <w:rFonts w:ascii="Arial" w:eastAsia="Arial" w:hAnsi="Arial" w:cs="Arial"/>
          <w:sz w:val="24"/>
          <w:szCs w:val="24"/>
        </w:rPr>
        <w:t>gugur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ialah</w:t>
      </w:r>
      <w:proofErr w:type="spellEnd"/>
      <w:proofErr w:type="gramEnd"/>
      <w:r w:rsidRPr="005D0C03">
        <w:rPr>
          <w:rFonts w:ascii="Arial" w:eastAsia="Arial" w:hAnsi="Arial" w:cs="Arial"/>
          <w:sz w:val="24"/>
          <w:szCs w:val="24"/>
        </w:rPr>
        <w:t>...</w:t>
      </w:r>
    </w:p>
    <w:p w14:paraId="4B8F9806" w14:textId="77777777" w:rsidR="00CA2139" w:rsidRPr="005D0C03" w:rsidRDefault="00CA2139" w:rsidP="00CA2139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71133F" w14:textId="7FF312A5" w:rsidR="00CA2139" w:rsidRPr="005D0C03" w:rsidRDefault="00CA2139" w:rsidP="00CA2139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0B9F104C" w14:textId="789C4CBC" w:rsidR="000B5232" w:rsidRPr="005D0C03" w:rsidRDefault="009C692D" w:rsidP="00CA2139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Pascakualifikasi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040FCE3" w14:textId="77777777" w:rsidR="000B5232" w:rsidRPr="005D0C03" w:rsidRDefault="000B5232">
      <w:pPr>
        <w:widowControl w:val="0"/>
        <w:spacing w:after="0" w:line="240" w:lineRule="auto"/>
        <w:ind w:left="810"/>
        <w:jc w:val="both"/>
        <w:rPr>
          <w:rFonts w:ascii="Arial" w:eastAsia="Arial" w:hAnsi="Arial" w:cs="Arial"/>
          <w:b/>
          <w:sz w:val="24"/>
          <w:szCs w:val="24"/>
        </w:rPr>
      </w:pPr>
    </w:p>
    <w:p w14:paraId="08328309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Konsultansi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digunakan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ruang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lingkup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jenis</w:t>
      </w:r>
      <w:proofErr w:type="spellEnd"/>
      <w:proofErr w:type="gram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tenaga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ahli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waktu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penyelesaian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diuraikan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pasti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KAK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Konsultansi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Perorangan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..</w:t>
      </w:r>
    </w:p>
    <w:p w14:paraId="14D99968" w14:textId="447D9BE0" w:rsidR="000B5232" w:rsidRPr="005D0C03" w:rsidRDefault="000B5232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D1C0BC" w14:textId="03861FEF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63939D94" w14:textId="5515A4D4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Kualitas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00E2F9E5" w14:textId="77777777" w:rsidR="00CA2139" w:rsidRPr="005D0C03" w:rsidRDefault="00CA2139" w:rsidP="00CA2139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311129A2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 xml:space="preserve">Di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bawah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termasuk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kedalam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aspek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administrasi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297ACD19" w14:textId="77777777" w:rsidR="00CA2139" w:rsidRPr="005D0C03" w:rsidRDefault="00CA2139" w:rsidP="00CA2139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3B370D" w14:textId="003FAAFB" w:rsidR="00CA2139" w:rsidRPr="005D0C03" w:rsidRDefault="00CA2139" w:rsidP="00CA2139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1BAD175C" w14:textId="42ECBC82" w:rsidR="000B5232" w:rsidRPr="005D0C03" w:rsidRDefault="009C692D" w:rsidP="00CA2139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Keabsahan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surat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penawaran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A65DD24" w14:textId="77777777" w:rsidR="000B5232" w:rsidRPr="005D0C03" w:rsidRDefault="000B5232">
      <w:pPr>
        <w:widowControl w:val="0"/>
        <w:spacing w:after="0" w:line="240" w:lineRule="auto"/>
        <w:ind w:left="810"/>
        <w:jc w:val="both"/>
        <w:rPr>
          <w:rFonts w:ascii="Arial" w:eastAsia="Arial" w:hAnsi="Arial" w:cs="Arial"/>
          <w:b/>
          <w:sz w:val="24"/>
          <w:szCs w:val="24"/>
        </w:rPr>
      </w:pPr>
    </w:p>
    <w:p w14:paraId="10E19B2D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alur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keadaan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darurat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melalui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5B2E82CB" w14:textId="77777777" w:rsidR="00CA2139" w:rsidRPr="005D0C03" w:rsidRDefault="00CA2139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A2EEA5" w14:textId="026AE2D3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3A0AD2CF" w14:textId="3A548069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SPPBJ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Pemeriksaan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Lokasi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Serah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Terima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Lokasi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– SPMK/SPP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Pelaksanaan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Perhitungan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Hasil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Serah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Terima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Hasil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-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Penyelesaian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Pembayaran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95A8884" w14:textId="77777777" w:rsidR="000B5232" w:rsidRPr="005D0C03" w:rsidRDefault="000B5232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5F40D099" w14:textId="77777777" w:rsidR="00CA2139" w:rsidRPr="005D0C03" w:rsidRDefault="00CA2139">
      <w:pPr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br w:type="page"/>
      </w:r>
    </w:p>
    <w:p w14:paraId="013425E5" w14:textId="56CF06B2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lastRenderedPageBreak/>
        <w:t>Penetapan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Pemenang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Pembangunan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Gelanggang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Olah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Raga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Internasional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pagu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anggaran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Rp.100.000.100.</w:t>
      </w:r>
      <w:proofErr w:type="gramStart"/>
      <w:r w:rsidRPr="005D0C03">
        <w:rPr>
          <w:rFonts w:ascii="Arial" w:eastAsia="Arial" w:hAnsi="Arial" w:cs="Arial"/>
          <w:sz w:val="24"/>
          <w:szCs w:val="24"/>
        </w:rPr>
        <w:t>000,-</w:t>
      </w:r>
      <w:proofErr w:type="gram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oleh…</w:t>
      </w:r>
    </w:p>
    <w:p w14:paraId="1F49A029" w14:textId="77777777" w:rsidR="00CA2139" w:rsidRPr="005D0C03" w:rsidRDefault="00CA2139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030E64" w14:textId="440EE4B4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69F44204" w14:textId="7DD8339C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Pengguna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Anggaran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/Kuasa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Pengguna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Anggaran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A9570BD" w14:textId="77777777" w:rsidR="000B5232" w:rsidRPr="005D0C03" w:rsidRDefault="000B5232">
      <w:pPr>
        <w:spacing w:after="0" w:line="240" w:lineRule="auto"/>
        <w:ind w:left="810"/>
        <w:jc w:val="both"/>
        <w:rPr>
          <w:rFonts w:ascii="Arial" w:eastAsia="Arial" w:hAnsi="Arial" w:cs="Arial"/>
          <w:b/>
          <w:sz w:val="24"/>
          <w:szCs w:val="24"/>
        </w:rPr>
      </w:pPr>
    </w:p>
    <w:p w14:paraId="3212E1F8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Penawaran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ruang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lingkup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jenis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tenaga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ahli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waktu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penyelesaian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diuraikan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pasti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KAK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evaluasi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519B0F0B" w14:textId="678BD8E4" w:rsidR="00CA2139" w:rsidRPr="005D0C03" w:rsidRDefault="00CA2139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0C98D6" w14:textId="326806DF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16E92BAD" w14:textId="579AC531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Kualitas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dan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Biaya</w:t>
      </w:r>
      <w:proofErr w:type="spellEnd"/>
    </w:p>
    <w:p w14:paraId="0B68AB8E" w14:textId="77777777" w:rsidR="00CA2139" w:rsidRPr="005D0C03" w:rsidRDefault="00CA2139" w:rsidP="00CA2139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0A3D5C06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berupa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Penyusunan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Kurikulum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Pelatihan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senilai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Rp.90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juta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menggunakan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metode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7925A385" w14:textId="77777777" w:rsidR="00CA2139" w:rsidRPr="005D0C03" w:rsidRDefault="00CA2139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57FC2F" w14:textId="52709946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67519CDC" w14:textId="5CB028B3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Langsung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0FB81E2" w14:textId="77777777" w:rsidR="000B5232" w:rsidRPr="005D0C03" w:rsidRDefault="000B5232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0BB28C67" w14:textId="77777777" w:rsidR="000B5232" w:rsidRPr="005D0C03" w:rsidRDefault="009C692D">
      <w:pPr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sz w:val="24"/>
          <w:szCs w:val="24"/>
        </w:rPr>
        <w:t>Pihak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melakukan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negosiasi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Penunjukan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paling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banyak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Rp.200 Juta,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, dan </w:t>
      </w:r>
      <w:r w:rsidRPr="005D0C03">
        <w:rPr>
          <w:rFonts w:ascii="Arial" w:eastAsia="Arial" w:hAnsi="Arial" w:cs="Arial"/>
          <w:i/>
          <w:sz w:val="24"/>
          <w:szCs w:val="24"/>
        </w:rPr>
        <w:t>E-Purchasing</w:t>
      </w:r>
      <w:r w:rsidRPr="005D0C03">
        <w:rPr>
          <w:rFonts w:ascii="Arial" w:eastAsia="Arial" w:hAnsi="Arial" w:cs="Arial"/>
          <w:sz w:val="24"/>
          <w:szCs w:val="24"/>
        </w:rPr>
        <w:t xml:space="preserve"> paling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banyak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 xml:space="preserve"> Rp.200 Juta </w:t>
      </w:r>
      <w:proofErr w:type="spellStart"/>
      <w:r w:rsidRPr="005D0C03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5D0C03">
        <w:rPr>
          <w:rFonts w:ascii="Arial" w:eastAsia="Arial" w:hAnsi="Arial" w:cs="Arial"/>
          <w:sz w:val="24"/>
          <w:szCs w:val="24"/>
        </w:rPr>
        <w:t>…</w:t>
      </w:r>
    </w:p>
    <w:p w14:paraId="05A3D32D" w14:textId="77777777" w:rsidR="00CA2139" w:rsidRPr="005D0C03" w:rsidRDefault="00CA2139" w:rsidP="00CA213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213C2A65" w14:textId="28012550" w:rsidR="00CA2139" w:rsidRPr="005D0C03" w:rsidRDefault="00CA2139" w:rsidP="00CA2139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5D0C03">
        <w:rPr>
          <w:rFonts w:ascii="Arial" w:eastAsia="Arial" w:hAnsi="Arial" w:cs="Arial"/>
          <w:sz w:val="24"/>
          <w:szCs w:val="24"/>
        </w:rPr>
        <w:t>Jawab:</w:t>
      </w:r>
    </w:p>
    <w:p w14:paraId="420CF663" w14:textId="4703C6F9" w:rsidR="000B5232" w:rsidRPr="005D0C03" w:rsidRDefault="009C692D" w:rsidP="00CA2139">
      <w:pPr>
        <w:spacing w:after="0" w:line="240" w:lineRule="auto"/>
        <w:ind w:left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Pejabat</w:t>
      </w:r>
      <w:proofErr w:type="spellEnd"/>
      <w:r w:rsidRPr="005D0C0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5D0C03">
        <w:rPr>
          <w:rFonts w:ascii="Arial" w:eastAsia="Arial" w:hAnsi="Arial" w:cs="Arial"/>
          <w:b/>
          <w:bCs/>
          <w:sz w:val="24"/>
          <w:szCs w:val="24"/>
        </w:rPr>
        <w:t>Pengadaa</w:t>
      </w:r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n</w:t>
      </w:r>
      <w:proofErr w:type="spellEnd"/>
      <w:r w:rsidR="00CA2139" w:rsidRPr="005D0C0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065508CA" w14:textId="77777777" w:rsidR="000B5232" w:rsidRPr="005D0C03" w:rsidRDefault="000B5232">
      <w:pPr>
        <w:ind w:left="270" w:hanging="270"/>
        <w:rPr>
          <w:rFonts w:ascii="Arial" w:eastAsia="Arial" w:hAnsi="Arial" w:cs="Arial"/>
          <w:sz w:val="24"/>
          <w:szCs w:val="24"/>
        </w:rPr>
      </w:pPr>
    </w:p>
    <w:p w14:paraId="073ED22D" w14:textId="77777777" w:rsidR="006D38B3" w:rsidRPr="005D0C03" w:rsidRDefault="006D38B3">
      <w:pPr>
        <w:ind w:left="270" w:hanging="270"/>
        <w:rPr>
          <w:rFonts w:ascii="Arial" w:eastAsia="Arial" w:hAnsi="Arial" w:cs="Arial"/>
          <w:sz w:val="24"/>
          <w:szCs w:val="24"/>
        </w:rPr>
      </w:pPr>
    </w:p>
    <w:sectPr w:rsidR="006D38B3" w:rsidRPr="005D0C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CBF"/>
    <w:multiLevelType w:val="multilevel"/>
    <w:tmpl w:val="C4CEB9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F5CCD"/>
    <w:multiLevelType w:val="multilevel"/>
    <w:tmpl w:val="C3D43E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A2CC3"/>
    <w:multiLevelType w:val="multilevel"/>
    <w:tmpl w:val="01928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6C3026"/>
    <w:multiLevelType w:val="multilevel"/>
    <w:tmpl w:val="CA6060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E733C"/>
    <w:multiLevelType w:val="multilevel"/>
    <w:tmpl w:val="2FB48BB4"/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D15148"/>
    <w:multiLevelType w:val="multilevel"/>
    <w:tmpl w:val="F1D8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E79"/>
    <w:multiLevelType w:val="multilevel"/>
    <w:tmpl w:val="19B21A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7C624C"/>
    <w:multiLevelType w:val="multilevel"/>
    <w:tmpl w:val="761444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F20441"/>
    <w:multiLevelType w:val="multilevel"/>
    <w:tmpl w:val="C96025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5431F4"/>
    <w:multiLevelType w:val="multilevel"/>
    <w:tmpl w:val="397E2282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4467FF7"/>
    <w:multiLevelType w:val="multilevel"/>
    <w:tmpl w:val="F05C85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0A6F2A"/>
    <w:multiLevelType w:val="multilevel"/>
    <w:tmpl w:val="C096B4EC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598250871">
    <w:abstractNumId w:val="8"/>
  </w:num>
  <w:num w:numId="2" w16cid:durableId="1714422987">
    <w:abstractNumId w:val="1"/>
  </w:num>
  <w:num w:numId="3" w16cid:durableId="1264803855">
    <w:abstractNumId w:val="2"/>
  </w:num>
  <w:num w:numId="4" w16cid:durableId="2109740400">
    <w:abstractNumId w:val="10"/>
  </w:num>
  <w:num w:numId="5" w16cid:durableId="1737782361">
    <w:abstractNumId w:val="5"/>
  </w:num>
  <w:num w:numId="6" w16cid:durableId="2018387104">
    <w:abstractNumId w:val="7"/>
  </w:num>
  <w:num w:numId="7" w16cid:durableId="109251929">
    <w:abstractNumId w:val="9"/>
  </w:num>
  <w:num w:numId="8" w16cid:durableId="476801887">
    <w:abstractNumId w:val="3"/>
  </w:num>
  <w:num w:numId="9" w16cid:durableId="1186939047">
    <w:abstractNumId w:val="6"/>
  </w:num>
  <w:num w:numId="10" w16cid:durableId="1884320016">
    <w:abstractNumId w:val="0"/>
  </w:num>
  <w:num w:numId="11" w16cid:durableId="723603594">
    <w:abstractNumId w:val="11"/>
  </w:num>
  <w:num w:numId="12" w16cid:durableId="91164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32"/>
    <w:rsid w:val="000B5232"/>
    <w:rsid w:val="00235621"/>
    <w:rsid w:val="005D0C03"/>
    <w:rsid w:val="006438B5"/>
    <w:rsid w:val="006D38B3"/>
    <w:rsid w:val="009540C6"/>
    <w:rsid w:val="00973393"/>
    <w:rsid w:val="009C692D"/>
    <w:rsid w:val="009E3DBB"/>
    <w:rsid w:val="00CA2139"/>
    <w:rsid w:val="00F1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81FB"/>
  <w15:docId w15:val="{43091B24-C490-44F9-947C-0EF801B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360" w:lineRule="auto"/>
      <w:ind w:left="1440" w:hanging="360"/>
      <w:jc w:val="center"/>
      <w:outlineLvl w:val="0"/>
    </w:pPr>
    <w:rPr>
      <w:rFonts w:ascii="Tahoma" w:eastAsia="Tahoma" w:hAnsi="Tahoma" w:cs="Tahom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120" w:line="360" w:lineRule="auto"/>
      <w:ind w:left="2160" w:hanging="360"/>
      <w:jc w:val="both"/>
      <w:outlineLvl w:val="1"/>
    </w:pPr>
    <w:rPr>
      <w:rFonts w:ascii="Tahoma" w:eastAsia="Tahoma" w:hAnsi="Tahoma" w:cs="Tahom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360" w:lineRule="auto"/>
      <w:ind w:left="2880" w:hanging="180"/>
      <w:jc w:val="both"/>
      <w:outlineLvl w:val="2"/>
    </w:pPr>
    <w:rPr>
      <w:rFonts w:ascii="Tahoma" w:eastAsia="Tahoma" w:hAnsi="Tahoma" w:cs="Tahoma"/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 w:line="360" w:lineRule="auto"/>
      <w:ind w:left="3600" w:hanging="360"/>
      <w:jc w:val="both"/>
      <w:outlineLvl w:val="3"/>
    </w:pPr>
    <w:rPr>
      <w:rFonts w:ascii="Tahoma" w:eastAsia="Tahoma" w:hAnsi="Tahoma" w:cs="Tahoma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 w:line="360" w:lineRule="auto"/>
      <w:ind w:left="4320" w:hanging="360"/>
      <w:jc w:val="both"/>
      <w:outlineLvl w:val="4"/>
    </w:pPr>
    <w:rPr>
      <w:rFonts w:ascii="Tahoma" w:eastAsia="Tahoma" w:hAnsi="Tahoma" w:cs="Tahoma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40" w:after="0" w:line="360" w:lineRule="auto"/>
      <w:ind w:left="5040" w:hanging="180"/>
      <w:jc w:val="both"/>
      <w:outlineLvl w:val="5"/>
    </w:pPr>
    <w:rPr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9</cp:revision>
  <cp:lastPrinted>2023-03-10T22:27:00Z</cp:lastPrinted>
  <dcterms:created xsi:type="dcterms:W3CDTF">2022-04-13T06:53:00Z</dcterms:created>
  <dcterms:modified xsi:type="dcterms:W3CDTF">2023-03-10T22:28:00Z</dcterms:modified>
</cp:coreProperties>
</file>