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2FB" w14:textId="60C94EC1" w:rsidR="00000000" w:rsidRDefault="007324C7">
      <w:pPr>
        <w:rPr>
          <w:b/>
          <w:bCs/>
          <w:sz w:val="40"/>
          <w:szCs w:val="40"/>
        </w:rPr>
      </w:pPr>
      <w:r w:rsidRPr="000770FA">
        <w:rPr>
          <w:b/>
          <w:bCs/>
          <w:sz w:val="40"/>
          <w:szCs w:val="40"/>
        </w:rPr>
        <w:t>Result and Discussion</w:t>
      </w:r>
    </w:p>
    <w:p w14:paraId="54D1EF10" w14:textId="255AFC38" w:rsidR="007324C7" w:rsidRDefault="007324C7">
      <w:pPr>
        <w:rPr>
          <w:b/>
          <w:bCs/>
          <w:sz w:val="28"/>
          <w:szCs w:val="28"/>
        </w:rPr>
      </w:pPr>
      <w:r w:rsidRPr="007324C7">
        <w:rPr>
          <w:b/>
          <w:bCs/>
          <w:sz w:val="28"/>
          <w:szCs w:val="28"/>
        </w:rPr>
        <w:t>Introduction</w:t>
      </w:r>
    </w:p>
    <w:p w14:paraId="42B41441" w14:textId="1F31B88F" w:rsidR="007324C7" w:rsidRDefault="007324C7" w:rsidP="007324C7">
      <w:pPr>
        <w:jc w:val="both"/>
        <w:rPr>
          <w:sz w:val="28"/>
          <w:szCs w:val="28"/>
        </w:rPr>
      </w:pPr>
      <w:r w:rsidRPr="007324C7">
        <w:rPr>
          <w:sz w:val="28"/>
          <w:szCs w:val="28"/>
        </w:rPr>
        <w:t>Undoped zinc oxide (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 xml:space="preserve">) and yttrium-doped zinc oxide (Y-doped 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 xml:space="preserve">) characterization results offer important new information about the structural, optical, and electrical properties of materials. To comprehend the effect of yttrium doping on the characteristics of 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>, these characterizations are frequently carried out utilizing a variety of analytical techniques.</w:t>
      </w:r>
    </w:p>
    <w:p w14:paraId="2CB29A19" w14:textId="19AEF8F7" w:rsidR="00484668" w:rsidRDefault="00484668" w:rsidP="007324C7">
      <w:pPr>
        <w:jc w:val="both"/>
        <w:rPr>
          <w:sz w:val="28"/>
          <w:szCs w:val="28"/>
        </w:rPr>
      </w:pPr>
      <w:r w:rsidRPr="00484668">
        <w:rPr>
          <w:sz w:val="28"/>
          <w:szCs w:val="28"/>
        </w:rPr>
        <w:t xml:space="preserve">The impact of Y doping on the crystal structure and phase transitions of the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host matrix was examined using XRD analysis. The diffractograms of the various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thin films created using the sol gel process are shown in Figure 1a.</w:t>
      </w:r>
    </w:p>
    <w:p w14:paraId="700B5105" w14:textId="235A00BA" w:rsidR="007324C7" w:rsidRDefault="007324C7" w:rsidP="007324C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F4E63" wp14:editId="5A46DE56">
            <wp:extent cx="5610860" cy="4361815"/>
            <wp:effectExtent l="0" t="0" r="8890" b="635"/>
            <wp:docPr id="15275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" t="7305" r="3281" b="2883"/>
                    <a:stretch/>
                  </pic:blipFill>
                  <pic:spPr bwMode="auto">
                    <a:xfrm>
                      <a:off x="0" y="0"/>
                      <a:ext cx="561086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FDEF" w14:textId="77777777" w:rsidR="007324C7" w:rsidRDefault="007324C7" w:rsidP="007324C7">
      <w:pPr>
        <w:rPr>
          <w:noProof/>
          <w:sz w:val="28"/>
          <w:szCs w:val="28"/>
        </w:rPr>
      </w:pPr>
    </w:p>
    <w:p w14:paraId="627E612F" w14:textId="4EDAA421" w:rsidR="007324C7" w:rsidRDefault="007324C7" w:rsidP="001F449B">
      <w:pPr>
        <w:jc w:val="center"/>
        <w:rPr>
          <w:sz w:val="23"/>
          <w:szCs w:val="23"/>
        </w:rPr>
      </w:pPr>
      <w:r w:rsidRPr="001F449B">
        <w:rPr>
          <w:b/>
          <w:bCs/>
          <w:sz w:val="23"/>
          <w:szCs w:val="23"/>
        </w:rPr>
        <w:t>Figure:</w:t>
      </w:r>
      <w:r>
        <w:rPr>
          <w:sz w:val="23"/>
          <w:szCs w:val="23"/>
        </w:rPr>
        <w:t xml:space="preserve"> (a) XRD graph of pure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 xml:space="preserve"> thin film sample</w:t>
      </w:r>
      <w:r w:rsidR="001F449B">
        <w:rPr>
          <w:sz w:val="23"/>
          <w:szCs w:val="23"/>
        </w:rPr>
        <w:t>.</w:t>
      </w:r>
    </w:p>
    <w:p w14:paraId="46AC2C5E" w14:textId="110FB617" w:rsidR="001F449B" w:rsidRDefault="001F449B" w:rsidP="001F449B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 this figure of XRD result, we can observe that, the most preferential crystal growth is along the (002) plane, which is an expected result for the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 xml:space="preserve"> wurtzite structure. In addition, (101) and (201) are also expected for this crystal structure. A little </w:t>
      </w:r>
      <w:proofErr w:type="gramStart"/>
      <w:r>
        <w:rPr>
          <w:sz w:val="23"/>
          <w:szCs w:val="23"/>
        </w:rPr>
        <w:t>amount</w:t>
      </w:r>
      <w:proofErr w:type="gramEnd"/>
      <w:r>
        <w:rPr>
          <w:sz w:val="23"/>
          <w:szCs w:val="23"/>
        </w:rPr>
        <w:t xml:space="preserve"> of impurities also seen in this peak results, so some other peaks also found here. </w:t>
      </w:r>
    </w:p>
    <w:p w14:paraId="40E131B1" w14:textId="7353F501" w:rsidR="001F449B" w:rsidRDefault="001F449B" w:rsidP="00A83B91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1D60EB" wp14:editId="729868C6">
            <wp:extent cx="4235486" cy="5671279"/>
            <wp:effectExtent l="0" t="0" r="0" b="5715"/>
            <wp:docPr id="181106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" b="2953"/>
                    <a:stretch/>
                  </pic:blipFill>
                  <pic:spPr bwMode="auto">
                    <a:xfrm>
                      <a:off x="0" y="0"/>
                      <a:ext cx="4247022" cy="56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4496" w14:textId="224D4C81" w:rsidR="001F449B" w:rsidRDefault="001F449B" w:rsidP="00A83B91">
      <w:pPr>
        <w:jc w:val="center"/>
        <w:rPr>
          <w:sz w:val="23"/>
          <w:szCs w:val="23"/>
        </w:rPr>
      </w:pPr>
      <w:r>
        <w:rPr>
          <w:sz w:val="23"/>
          <w:szCs w:val="23"/>
        </w:rPr>
        <w:t>Figure 4. 1: (b) XRD graphs of all</w:t>
      </w:r>
      <w:r>
        <w:rPr>
          <w:sz w:val="23"/>
          <w:szCs w:val="23"/>
        </w:rPr>
        <w:t xml:space="preserve"> samples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z w:val="23"/>
          <w:szCs w:val="23"/>
        </w:rPr>
        <w:t xml:space="preserve">pure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>, 1% YZO, 3% YZO, and 5% YZO)</w:t>
      </w:r>
      <w:r>
        <w:rPr>
          <w:sz w:val="23"/>
          <w:szCs w:val="23"/>
        </w:rPr>
        <w:t xml:space="preserve"> thin film samples</w:t>
      </w:r>
      <w:r>
        <w:rPr>
          <w:sz w:val="23"/>
          <w:szCs w:val="23"/>
        </w:rPr>
        <w:t>.</w:t>
      </w:r>
    </w:p>
    <w:p w14:paraId="0A212383" w14:textId="77777777" w:rsidR="00A83B91" w:rsidRPr="007324C7" w:rsidRDefault="00A83B91" w:rsidP="007324C7">
      <w:pPr>
        <w:jc w:val="both"/>
        <w:rPr>
          <w:sz w:val="28"/>
          <w:szCs w:val="28"/>
        </w:rPr>
      </w:pPr>
    </w:p>
    <w:p w14:paraId="49837F10" w14:textId="1E87FBCC" w:rsidR="007324C7" w:rsidRDefault="00A83B91" w:rsidP="007324C7">
      <w:pPr>
        <w:tabs>
          <w:tab w:val="left" w:pos="2203"/>
        </w:tabs>
        <w:rPr>
          <w:sz w:val="28"/>
          <w:szCs w:val="28"/>
        </w:rPr>
      </w:pPr>
      <w:r>
        <w:rPr>
          <w:sz w:val="28"/>
          <w:szCs w:val="28"/>
        </w:rPr>
        <w:t xml:space="preserve">Here, in the stacks, comparisons </w:t>
      </w:r>
      <w:r>
        <w:rPr>
          <w:sz w:val="28"/>
          <w:szCs w:val="28"/>
        </w:rPr>
        <w:t>between</w:t>
      </w:r>
      <w:r>
        <w:rPr>
          <w:sz w:val="28"/>
          <w:szCs w:val="28"/>
        </w:rPr>
        <w:t xml:space="preserve"> peaks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pure, 1% YZO, 3% YZO, and 5% YZO are shown. In the 1% YZO peaks, it is observed that, there are high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impurities in the material, so a lot of extra peaks are showing in the XRD figure of 1% YZO thin film. But the 3% YZO, and 5% YZO thin films have better peaks rather than the 1% YZO.</w:t>
      </w:r>
    </w:p>
    <w:p w14:paraId="0BC726A7" w14:textId="19EC2E97" w:rsidR="00A83B91" w:rsidRDefault="00A83B91" w:rsidP="007324C7">
      <w:pPr>
        <w:tabs>
          <w:tab w:val="left" w:pos="2203"/>
        </w:tabs>
        <w:rPr>
          <w:sz w:val="28"/>
          <w:szCs w:val="28"/>
        </w:rPr>
      </w:pPr>
      <w:r>
        <w:rPr>
          <w:sz w:val="28"/>
          <w:szCs w:val="28"/>
        </w:rPr>
        <w:t xml:space="preserve">Here, the intensity of the peak </w:t>
      </w:r>
      <w:r w:rsidR="00484668">
        <w:rPr>
          <w:sz w:val="28"/>
          <w:szCs w:val="28"/>
        </w:rPr>
        <w:t>is</w:t>
      </w:r>
      <w:r>
        <w:rPr>
          <w:sz w:val="28"/>
          <w:szCs w:val="28"/>
        </w:rPr>
        <w:t xml:space="preserve"> low in the Yttrium doped </w:t>
      </w:r>
      <w:proofErr w:type="spellStart"/>
      <w:r>
        <w:rPr>
          <w:sz w:val="28"/>
          <w:szCs w:val="28"/>
        </w:rPr>
        <w:t>ZnO</w:t>
      </w:r>
      <w:proofErr w:type="spellEnd"/>
      <w:r>
        <w:rPr>
          <w:sz w:val="28"/>
          <w:szCs w:val="28"/>
        </w:rPr>
        <w:t xml:space="preserve"> thin films. The 1% YZO showing low peak intensity, the 3% YZO showing lower peak than the 1%, but the 5% showing more intensity than the other two YZO films. So, it is also clear that, by doping the </w:t>
      </w:r>
      <w:r w:rsidRPr="00A83B91">
        <w:rPr>
          <w:sz w:val="28"/>
          <w:szCs w:val="28"/>
        </w:rPr>
        <w:t>crystallinity</w:t>
      </w:r>
      <w:r>
        <w:rPr>
          <w:sz w:val="28"/>
          <w:szCs w:val="28"/>
        </w:rPr>
        <w:t xml:space="preserve"> is decreased.</w:t>
      </w:r>
    </w:p>
    <w:p w14:paraId="231BB8D4" w14:textId="77777777" w:rsidR="00484668" w:rsidRDefault="00484668" w:rsidP="007324C7">
      <w:pPr>
        <w:tabs>
          <w:tab w:val="left" w:pos="2203"/>
        </w:tabs>
        <w:rPr>
          <w:sz w:val="28"/>
          <w:szCs w:val="28"/>
        </w:rPr>
      </w:pPr>
    </w:p>
    <w:p w14:paraId="42BE4EAB" w14:textId="505BEC78" w:rsidR="00484668" w:rsidRDefault="00484668" w:rsidP="007324C7">
      <w:pPr>
        <w:tabs>
          <w:tab w:val="left" w:pos="2203"/>
        </w:tabs>
        <w:rPr>
          <w:sz w:val="28"/>
          <w:szCs w:val="28"/>
        </w:rPr>
      </w:pPr>
      <w:r w:rsidRPr="00484668">
        <w:rPr>
          <w:b/>
          <w:bCs/>
          <w:sz w:val="28"/>
          <w:szCs w:val="28"/>
        </w:rPr>
        <w:t>Table:</w:t>
      </w:r>
      <w:r w:rsidRPr="00484668">
        <w:rPr>
          <w:sz w:val="28"/>
          <w:szCs w:val="28"/>
        </w:rPr>
        <w:t xml:space="preserve"> XRD results for wurtzite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for all examined samples indexed with JCPDS card number 96-101-1260.</w:t>
      </w:r>
    </w:p>
    <w:tbl>
      <w:tblPr>
        <w:tblStyle w:val="TableGrid"/>
        <w:tblpPr w:leftFromText="180" w:rightFromText="180" w:vertAnchor="text" w:horzAnchor="margin" w:tblpY="267"/>
        <w:tblW w:w="9686" w:type="dxa"/>
        <w:tblLook w:val="04A0" w:firstRow="1" w:lastRow="0" w:firstColumn="1" w:lastColumn="0" w:noHBand="0" w:noVBand="1"/>
      </w:tblPr>
      <w:tblGrid>
        <w:gridCol w:w="960"/>
        <w:gridCol w:w="1685"/>
        <w:gridCol w:w="1764"/>
        <w:gridCol w:w="1747"/>
        <w:gridCol w:w="1748"/>
        <w:gridCol w:w="1782"/>
      </w:tblGrid>
      <w:tr w:rsidR="00484668" w14:paraId="65A7AF65" w14:textId="77777777" w:rsidTr="00484668">
        <w:trPr>
          <w:trHeight w:val="638"/>
        </w:trPr>
        <w:tc>
          <w:tcPr>
            <w:tcW w:w="960" w:type="dxa"/>
            <w:vMerge w:val="restart"/>
          </w:tcPr>
          <w:p w14:paraId="7486E2B3" w14:textId="77777777" w:rsidR="00484668" w:rsidRDefault="00484668" w:rsidP="00484668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12A0C22F" w14:textId="77777777" w:rsidR="00484668" w:rsidRDefault="00484668" w:rsidP="00484668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5C3AF4B5" w14:textId="75B3ED3A" w:rsidR="00484668" w:rsidRPr="00484668" w:rsidRDefault="00484668" w:rsidP="0048466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84668">
              <w:rPr>
                <w:b/>
                <w:bCs/>
                <w:sz w:val="40"/>
                <w:szCs w:val="40"/>
              </w:rPr>
              <w:t>hkl</w:t>
            </w:r>
            <w:proofErr w:type="spellEnd"/>
          </w:p>
        </w:tc>
        <w:tc>
          <w:tcPr>
            <w:tcW w:w="8726" w:type="dxa"/>
            <w:gridSpan w:val="5"/>
          </w:tcPr>
          <w:p w14:paraId="5CCAA84E" w14:textId="77777777" w:rsidR="00484668" w:rsidRPr="00DB1A16" w:rsidRDefault="00484668" w:rsidP="00484668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DB1A16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2θ</w:t>
            </w:r>
          </w:p>
        </w:tc>
      </w:tr>
      <w:tr w:rsidR="00484668" w14:paraId="17203B9D" w14:textId="77777777" w:rsidTr="00484668">
        <w:trPr>
          <w:trHeight w:val="637"/>
        </w:trPr>
        <w:tc>
          <w:tcPr>
            <w:tcW w:w="960" w:type="dxa"/>
            <w:vMerge/>
          </w:tcPr>
          <w:p w14:paraId="6D00A794" w14:textId="77777777" w:rsidR="00484668" w:rsidRPr="008855BF" w:rsidRDefault="00484668" w:rsidP="00484668"/>
        </w:tc>
        <w:tc>
          <w:tcPr>
            <w:tcW w:w="1685" w:type="dxa"/>
          </w:tcPr>
          <w:p w14:paraId="4D29DC90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B1A16">
              <w:rPr>
                <w:b/>
                <w:bCs/>
              </w:rPr>
              <w:t>ZnO</w:t>
            </w:r>
            <w:proofErr w:type="spellEnd"/>
            <w:r w:rsidRPr="00DB1A16">
              <w:rPr>
                <w:b/>
                <w:bCs/>
              </w:rPr>
              <w:t xml:space="preserve"> Wurtzite Structure</w:t>
            </w:r>
          </w:p>
        </w:tc>
        <w:tc>
          <w:tcPr>
            <w:tcW w:w="1764" w:type="dxa"/>
          </w:tcPr>
          <w:p w14:paraId="59FF6DA2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  <w:sz w:val="23"/>
                <w:szCs w:val="23"/>
              </w:rPr>
              <w:t xml:space="preserve">Pure </w:t>
            </w:r>
            <w:proofErr w:type="spellStart"/>
            <w:r w:rsidRPr="00DB1A16">
              <w:rPr>
                <w:b/>
                <w:bCs/>
                <w:sz w:val="23"/>
                <w:szCs w:val="23"/>
              </w:rPr>
              <w:t>ZnO</w:t>
            </w:r>
            <w:proofErr w:type="spellEnd"/>
          </w:p>
          <w:p w14:paraId="371DBA37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7" w:type="dxa"/>
          </w:tcPr>
          <w:p w14:paraId="0A7DAC12" w14:textId="77777777" w:rsidR="00484668" w:rsidRPr="00DB1A16" w:rsidRDefault="00484668" w:rsidP="0048466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1% YZO</w:t>
            </w:r>
          </w:p>
          <w:p w14:paraId="123EEB16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8" w:type="dxa"/>
          </w:tcPr>
          <w:p w14:paraId="12CD557B" w14:textId="77777777" w:rsidR="00484668" w:rsidRPr="00DB1A16" w:rsidRDefault="00484668" w:rsidP="0048466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3% YZO</w:t>
            </w:r>
          </w:p>
          <w:p w14:paraId="6A5502C8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82" w:type="dxa"/>
          </w:tcPr>
          <w:p w14:paraId="5A58AE36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</w:rPr>
              <w:t>5% YZO</w:t>
            </w:r>
          </w:p>
        </w:tc>
      </w:tr>
      <w:tr w:rsidR="00484668" w14:paraId="02B93979" w14:textId="77777777" w:rsidTr="00484668">
        <w:trPr>
          <w:trHeight w:val="551"/>
        </w:trPr>
        <w:tc>
          <w:tcPr>
            <w:tcW w:w="960" w:type="dxa"/>
          </w:tcPr>
          <w:p w14:paraId="4A9BC263" w14:textId="77777777" w:rsidR="00484668" w:rsidRDefault="00484668" w:rsidP="00484668">
            <w:r>
              <w:t>(002)</w:t>
            </w:r>
          </w:p>
        </w:tc>
        <w:tc>
          <w:tcPr>
            <w:tcW w:w="1685" w:type="dxa"/>
          </w:tcPr>
          <w:p w14:paraId="547D2D53" w14:textId="77777777" w:rsidR="00484668" w:rsidRDefault="00484668" w:rsidP="00484668">
            <w:r w:rsidRPr="00DB1A16">
              <w:t>34.228</w:t>
            </w:r>
          </w:p>
        </w:tc>
        <w:tc>
          <w:tcPr>
            <w:tcW w:w="1764" w:type="dxa"/>
          </w:tcPr>
          <w:p w14:paraId="6140AF6E" w14:textId="77777777" w:rsidR="00484668" w:rsidRDefault="00484668" w:rsidP="00484668"/>
        </w:tc>
        <w:tc>
          <w:tcPr>
            <w:tcW w:w="1747" w:type="dxa"/>
          </w:tcPr>
          <w:p w14:paraId="0996E67B" w14:textId="77777777" w:rsidR="00484668" w:rsidRDefault="00484668" w:rsidP="00484668">
            <w:r>
              <w:t>34.327</w:t>
            </w:r>
          </w:p>
        </w:tc>
        <w:tc>
          <w:tcPr>
            <w:tcW w:w="1748" w:type="dxa"/>
          </w:tcPr>
          <w:p w14:paraId="7D14B626" w14:textId="77777777" w:rsidR="00484668" w:rsidRDefault="00484668" w:rsidP="00484668">
            <w:r>
              <w:t>34.411</w:t>
            </w:r>
          </w:p>
        </w:tc>
        <w:tc>
          <w:tcPr>
            <w:tcW w:w="1782" w:type="dxa"/>
          </w:tcPr>
          <w:p w14:paraId="1E9CDC39" w14:textId="77777777" w:rsidR="00484668" w:rsidRDefault="00484668" w:rsidP="00484668">
            <w:r>
              <w:t>34.536</w:t>
            </w:r>
          </w:p>
        </w:tc>
      </w:tr>
      <w:tr w:rsidR="00484668" w14:paraId="1C518710" w14:textId="77777777" w:rsidTr="00484668">
        <w:trPr>
          <w:trHeight w:val="551"/>
        </w:trPr>
        <w:tc>
          <w:tcPr>
            <w:tcW w:w="960" w:type="dxa"/>
          </w:tcPr>
          <w:p w14:paraId="16DE845E" w14:textId="77777777" w:rsidR="00484668" w:rsidRDefault="00484668" w:rsidP="00484668">
            <w:r>
              <w:t>(100)</w:t>
            </w:r>
          </w:p>
        </w:tc>
        <w:tc>
          <w:tcPr>
            <w:tcW w:w="1685" w:type="dxa"/>
          </w:tcPr>
          <w:p w14:paraId="7188C079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31.749</w:t>
            </w:r>
          </w:p>
        </w:tc>
        <w:tc>
          <w:tcPr>
            <w:tcW w:w="1764" w:type="dxa"/>
          </w:tcPr>
          <w:p w14:paraId="264CC6E3" w14:textId="77777777" w:rsidR="00484668" w:rsidRDefault="00484668" w:rsidP="00484668">
            <w:r>
              <w:t>32.138</w:t>
            </w:r>
          </w:p>
        </w:tc>
        <w:tc>
          <w:tcPr>
            <w:tcW w:w="1747" w:type="dxa"/>
          </w:tcPr>
          <w:p w14:paraId="6A76BFB7" w14:textId="77777777" w:rsidR="00484668" w:rsidRDefault="00484668" w:rsidP="00484668"/>
        </w:tc>
        <w:tc>
          <w:tcPr>
            <w:tcW w:w="1748" w:type="dxa"/>
          </w:tcPr>
          <w:p w14:paraId="68A5B3BB" w14:textId="77777777" w:rsidR="00484668" w:rsidRDefault="00484668" w:rsidP="00484668">
            <w:r>
              <w:t>30.248</w:t>
            </w:r>
          </w:p>
        </w:tc>
        <w:tc>
          <w:tcPr>
            <w:tcW w:w="1782" w:type="dxa"/>
          </w:tcPr>
          <w:p w14:paraId="37ED0E7C" w14:textId="77777777" w:rsidR="00484668" w:rsidRDefault="00484668" w:rsidP="00484668">
            <w:r>
              <w:t>31.889</w:t>
            </w:r>
          </w:p>
        </w:tc>
      </w:tr>
      <w:tr w:rsidR="00484668" w14:paraId="2F2A6689" w14:textId="77777777" w:rsidTr="00484668">
        <w:trPr>
          <w:trHeight w:val="571"/>
        </w:trPr>
        <w:tc>
          <w:tcPr>
            <w:tcW w:w="960" w:type="dxa"/>
          </w:tcPr>
          <w:p w14:paraId="7EB72662" w14:textId="77777777" w:rsidR="00484668" w:rsidRDefault="00484668" w:rsidP="00484668">
            <w:r>
              <w:t>(101)</w:t>
            </w:r>
          </w:p>
        </w:tc>
        <w:tc>
          <w:tcPr>
            <w:tcW w:w="1685" w:type="dxa"/>
          </w:tcPr>
          <w:p w14:paraId="534878EF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36.257 </w:t>
            </w:r>
          </w:p>
        </w:tc>
        <w:tc>
          <w:tcPr>
            <w:tcW w:w="1764" w:type="dxa"/>
          </w:tcPr>
          <w:p w14:paraId="1E544211" w14:textId="77777777" w:rsidR="00484668" w:rsidRDefault="00484668" w:rsidP="00484668">
            <w:r>
              <w:t>35.903</w:t>
            </w:r>
          </w:p>
        </w:tc>
        <w:tc>
          <w:tcPr>
            <w:tcW w:w="1747" w:type="dxa"/>
          </w:tcPr>
          <w:p w14:paraId="21774677" w14:textId="77777777" w:rsidR="00484668" w:rsidRDefault="00484668" w:rsidP="00484668">
            <w:r>
              <w:t>36.427</w:t>
            </w:r>
          </w:p>
        </w:tc>
        <w:tc>
          <w:tcPr>
            <w:tcW w:w="1748" w:type="dxa"/>
          </w:tcPr>
          <w:p w14:paraId="77D71739" w14:textId="77777777" w:rsidR="00484668" w:rsidRDefault="00484668" w:rsidP="00484668"/>
        </w:tc>
        <w:tc>
          <w:tcPr>
            <w:tcW w:w="1782" w:type="dxa"/>
          </w:tcPr>
          <w:p w14:paraId="11A2D74D" w14:textId="77777777" w:rsidR="00484668" w:rsidRDefault="00484668" w:rsidP="00484668">
            <w:r>
              <w:t>36.384</w:t>
            </w:r>
          </w:p>
        </w:tc>
      </w:tr>
      <w:tr w:rsidR="00484668" w14:paraId="0DB7E963" w14:textId="77777777" w:rsidTr="00484668">
        <w:trPr>
          <w:trHeight w:val="571"/>
        </w:trPr>
        <w:tc>
          <w:tcPr>
            <w:tcW w:w="960" w:type="dxa"/>
          </w:tcPr>
          <w:p w14:paraId="08AC6D24" w14:textId="77777777" w:rsidR="00484668" w:rsidRDefault="00484668" w:rsidP="00484668">
            <w:r>
              <w:t>(102)</w:t>
            </w:r>
          </w:p>
        </w:tc>
        <w:tc>
          <w:tcPr>
            <w:tcW w:w="1685" w:type="dxa"/>
          </w:tcPr>
          <w:p w14:paraId="59E3A99C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47.257 </w:t>
            </w:r>
          </w:p>
        </w:tc>
        <w:tc>
          <w:tcPr>
            <w:tcW w:w="1764" w:type="dxa"/>
          </w:tcPr>
          <w:p w14:paraId="0DEEB3F8" w14:textId="77777777" w:rsidR="00484668" w:rsidRDefault="00484668" w:rsidP="00484668"/>
        </w:tc>
        <w:tc>
          <w:tcPr>
            <w:tcW w:w="1747" w:type="dxa"/>
          </w:tcPr>
          <w:p w14:paraId="197AF2F5" w14:textId="77777777" w:rsidR="00484668" w:rsidRDefault="00484668" w:rsidP="00484668">
            <w:r>
              <w:t>48.348</w:t>
            </w:r>
          </w:p>
        </w:tc>
        <w:tc>
          <w:tcPr>
            <w:tcW w:w="1748" w:type="dxa"/>
          </w:tcPr>
          <w:p w14:paraId="1CC76DE2" w14:textId="77777777" w:rsidR="00484668" w:rsidRDefault="00484668" w:rsidP="00484668"/>
        </w:tc>
        <w:tc>
          <w:tcPr>
            <w:tcW w:w="1782" w:type="dxa"/>
          </w:tcPr>
          <w:p w14:paraId="29CF3884" w14:textId="77777777" w:rsidR="00484668" w:rsidRDefault="00484668" w:rsidP="00484668"/>
        </w:tc>
      </w:tr>
      <w:tr w:rsidR="00484668" w14:paraId="7580B219" w14:textId="77777777" w:rsidTr="00484668">
        <w:trPr>
          <w:trHeight w:val="571"/>
        </w:trPr>
        <w:tc>
          <w:tcPr>
            <w:tcW w:w="960" w:type="dxa"/>
          </w:tcPr>
          <w:p w14:paraId="63812EBD" w14:textId="77777777" w:rsidR="00484668" w:rsidRDefault="00484668" w:rsidP="00484668">
            <w:r>
              <w:t>(110)</w:t>
            </w:r>
          </w:p>
        </w:tc>
        <w:tc>
          <w:tcPr>
            <w:tcW w:w="1685" w:type="dxa"/>
          </w:tcPr>
          <w:p w14:paraId="6DEAF634" w14:textId="77777777" w:rsidR="00484668" w:rsidRDefault="00484668" w:rsidP="00484668">
            <w:r>
              <w:t>56.535</w:t>
            </w:r>
          </w:p>
        </w:tc>
        <w:tc>
          <w:tcPr>
            <w:tcW w:w="1764" w:type="dxa"/>
          </w:tcPr>
          <w:p w14:paraId="69F41828" w14:textId="77777777" w:rsidR="00484668" w:rsidRDefault="00484668" w:rsidP="00484668"/>
        </w:tc>
        <w:tc>
          <w:tcPr>
            <w:tcW w:w="1747" w:type="dxa"/>
          </w:tcPr>
          <w:p w14:paraId="544FACB1" w14:textId="77777777" w:rsidR="00484668" w:rsidRDefault="00484668" w:rsidP="00484668"/>
        </w:tc>
        <w:tc>
          <w:tcPr>
            <w:tcW w:w="1748" w:type="dxa"/>
          </w:tcPr>
          <w:p w14:paraId="0FA0ED4D" w14:textId="77777777" w:rsidR="00484668" w:rsidRDefault="00484668" w:rsidP="00484668">
            <w:r>
              <w:t>56.841</w:t>
            </w:r>
          </w:p>
        </w:tc>
        <w:tc>
          <w:tcPr>
            <w:tcW w:w="1782" w:type="dxa"/>
          </w:tcPr>
          <w:p w14:paraId="2BBC6523" w14:textId="77777777" w:rsidR="00484668" w:rsidRDefault="00484668" w:rsidP="00484668"/>
        </w:tc>
      </w:tr>
      <w:tr w:rsidR="00484668" w14:paraId="3138A7CB" w14:textId="77777777" w:rsidTr="00484668">
        <w:trPr>
          <w:trHeight w:val="571"/>
        </w:trPr>
        <w:tc>
          <w:tcPr>
            <w:tcW w:w="960" w:type="dxa"/>
          </w:tcPr>
          <w:p w14:paraId="653D66BC" w14:textId="77777777" w:rsidR="00484668" w:rsidRDefault="00484668" w:rsidP="00484668">
            <w:r>
              <w:t>(200)</w:t>
            </w:r>
          </w:p>
        </w:tc>
        <w:tc>
          <w:tcPr>
            <w:tcW w:w="1685" w:type="dxa"/>
          </w:tcPr>
          <w:p w14:paraId="7F9B2BA9" w14:textId="77777777" w:rsidR="00484668" w:rsidRDefault="00484668" w:rsidP="00484668">
            <w:r>
              <w:t>63.341</w:t>
            </w:r>
          </w:p>
        </w:tc>
        <w:tc>
          <w:tcPr>
            <w:tcW w:w="1764" w:type="dxa"/>
          </w:tcPr>
          <w:p w14:paraId="7EE6EBC6" w14:textId="77777777" w:rsidR="00484668" w:rsidRDefault="00484668" w:rsidP="00484668">
            <w:r>
              <w:t>63.846</w:t>
            </w:r>
          </w:p>
        </w:tc>
        <w:tc>
          <w:tcPr>
            <w:tcW w:w="1747" w:type="dxa"/>
          </w:tcPr>
          <w:p w14:paraId="7BF01505" w14:textId="77777777" w:rsidR="00484668" w:rsidRDefault="00484668" w:rsidP="00484668"/>
        </w:tc>
        <w:tc>
          <w:tcPr>
            <w:tcW w:w="1748" w:type="dxa"/>
          </w:tcPr>
          <w:p w14:paraId="44635807" w14:textId="77777777" w:rsidR="00484668" w:rsidRDefault="00484668" w:rsidP="00484668"/>
        </w:tc>
        <w:tc>
          <w:tcPr>
            <w:tcW w:w="1782" w:type="dxa"/>
          </w:tcPr>
          <w:p w14:paraId="3234DE15" w14:textId="77777777" w:rsidR="00484668" w:rsidRDefault="00484668" w:rsidP="00484668"/>
        </w:tc>
      </w:tr>
    </w:tbl>
    <w:p w14:paraId="3217EF49" w14:textId="77777777" w:rsidR="00484668" w:rsidRDefault="00484668" w:rsidP="007324C7">
      <w:pPr>
        <w:tabs>
          <w:tab w:val="left" w:pos="2203"/>
        </w:tabs>
        <w:rPr>
          <w:sz w:val="28"/>
          <w:szCs w:val="28"/>
        </w:rPr>
      </w:pPr>
    </w:p>
    <w:p w14:paraId="40DBEE90" w14:textId="592D0005" w:rsidR="007F77DB" w:rsidRDefault="007F77DB" w:rsidP="007324C7">
      <w:pPr>
        <w:tabs>
          <w:tab w:val="left" w:pos="2203"/>
        </w:tabs>
        <w:rPr>
          <w:sz w:val="28"/>
          <w:szCs w:val="28"/>
        </w:rPr>
      </w:pPr>
      <w:r w:rsidRPr="007F77DB">
        <w:rPr>
          <w:sz w:val="28"/>
          <w:szCs w:val="28"/>
        </w:rPr>
        <w:t xml:space="preserve">The observed Bragg angles in our YZO films are less than those in bulk </w:t>
      </w:r>
      <w:proofErr w:type="spellStart"/>
      <w:r w:rsidRPr="007F77DB">
        <w:rPr>
          <w:sz w:val="28"/>
          <w:szCs w:val="28"/>
        </w:rPr>
        <w:t>ZnO</w:t>
      </w:r>
      <w:proofErr w:type="spellEnd"/>
      <w:r w:rsidRPr="007F77DB">
        <w:rPr>
          <w:sz w:val="28"/>
          <w:szCs w:val="28"/>
        </w:rPr>
        <w:t xml:space="preserve"> (</w:t>
      </w:r>
      <w:bookmarkStart w:id="0" w:name="_Hlk147275430"/>
      <w:r w:rsidRPr="007F77DB">
        <w:rPr>
          <w:sz w:val="28"/>
          <w:szCs w:val="28"/>
        </w:rPr>
        <w:t>2θ</w:t>
      </w:r>
      <w:r w:rsidRPr="007F77DB">
        <w:rPr>
          <w:sz w:val="28"/>
          <w:szCs w:val="28"/>
          <w:vertAlign w:val="subscript"/>
        </w:rPr>
        <w:t>Bragg</w:t>
      </w:r>
      <w:r w:rsidRPr="007F77DB">
        <w:rPr>
          <w:sz w:val="28"/>
          <w:szCs w:val="28"/>
        </w:rPr>
        <w:t xml:space="preserve"> </w:t>
      </w:r>
      <w:bookmarkEnd w:id="0"/>
      <w:r w:rsidRPr="007F77DB">
        <w:rPr>
          <w:sz w:val="28"/>
          <w:szCs w:val="28"/>
        </w:rPr>
        <w:t>= 34.42°), and the 2θ</w:t>
      </w:r>
      <w:r w:rsidRPr="007F77DB">
        <w:rPr>
          <w:sz w:val="28"/>
          <w:szCs w:val="28"/>
          <w:vertAlign w:val="subscript"/>
        </w:rPr>
        <w:t>Bragg</w:t>
      </w:r>
      <w:r w:rsidRPr="007F77DB">
        <w:rPr>
          <w:sz w:val="28"/>
          <w:szCs w:val="28"/>
        </w:rPr>
        <w:t xml:space="preserve"> of YZO declines with increasing Y concentration. This results from Y</w:t>
      </w:r>
      <w:r w:rsidRPr="007F77DB">
        <w:rPr>
          <w:sz w:val="28"/>
          <w:szCs w:val="28"/>
          <w:vertAlign w:val="superscript"/>
        </w:rPr>
        <w:t>3+</w:t>
      </w:r>
      <w:r w:rsidRPr="007F77DB">
        <w:rPr>
          <w:sz w:val="28"/>
          <w:szCs w:val="28"/>
        </w:rPr>
        <w:t xml:space="preserve">'s (0.92 </w:t>
      </w:r>
      <w:r w:rsidRPr="005B37DE">
        <w:rPr>
          <w:rFonts w:ascii="Cambria Math" w:hAnsi="Cambria Math" w:cs="Cambria Math"/>
        </w:rPr>
        <w:t>Å</w:t>
      </w:r>
      <w:r w:rsidRPr="007F77DB">
        <w:rPr>
          <w:sz w:val="28"/>
          <w:szCs w:val="28"/>
        </w:rPr>
        <w:t>) greater ionic radius compared to Zn2+ (0.74</w:t>
      </w:r>
      <w:r w:rsidRPr="005B37DE">
        <w:rPr>
          <w:rFonts w:ascii="Cambria Math" w:hAnsi="Cambria Math" w:cs="Cambria Math"/>
        </w:rPr>
        <w:t>Å</w:t>
      </w:r>
      <w:r w:rsidRPr="007F77DB">
        <w:rPr>
          <w:sz w:val="28"/>
          <w:szCs w:val="28"/>
        </w:rPr>
        <w:t>) [34]. The inclusion of bigger ionic dopants modifies the film's residual stress (σ) and lattice constant (c).</w:t>
      </w:r>
    </w:p>
    <w:p w14:paraId="38B7C11A" w14:textId="55B2ACA8" w:rsidR="00CB06DA" w:rsidRDefault="00CB06DA" w:rsidP="007324C7">
      <w:pPr>
        <w:tabs>
          <w:tab w:val="left" w:pos="2203"/>
        </w:tabs>
        <w:rPr>
          <w:sz w:val="28"/>
          <w:szCs w:val="28"/>
        </w:rPr>
      </w:pPr>
      <w:r w:rsidRPr="00CB06DA">
        <w:rPr>
          <w:sz w:val="28"/>
          <w:szCs w:val="28"/>
        </w:rPr>
        <w:t>Using the Bragg equation</w:t>
      </w:r>
      <w:r w:rsidR="00A6427E">
        <w:rPr>
          <w:sz w:val="28"/>
          <w:szCs w:val="28"/>
        </w:rPr>
        <w:t xml:space="preserve"> [2]</w:t>
      </w:r>
      <w:r w:rsidRPr="00CB06DA">
        <w:rPr>
          <w:sz w:val="28"/>
          <w:szCs w:val="28"/>
        </w:rPr>
        <w:t xml:space="preserve">, the interplanar spacing </w:t>
      </w:r>
      <w:proofErr w:type="spellStart"/>
      <w:r w:rsidRPr="00CB06DA">
        <w:rPr>
          <w:sz w:val="28"/>
          <w:szCs w:val="28"/>
        </w:rPr>
        <w:t>d</w:t>
      </w:r>
      <w:r w:rsidRPr="00CB06DA">
        <w:rPr>
          <w:sz w:val="28"/>
          <w:szCs w:val="28"/>
          <w:vertAlign w:val="subscript"/>
        </w:rPr>
        <w:t>hkl</w:t>
      </w:r>
      <w:proofErr w:type="spellEnd"/>
      <w:r w:rsidRPr="00CB06DA">
        <w:rPr>
          <w:sz w:val="28"/>
          <w:szCs w:val="28"/>
        </w:rPr>
        <w:t xml:space="preserve"> values of </w:t>
      </w:r>
      <w:proofErr w:type="spellStart"/>
      <w:proofErr w:type="gramStart"/>
      <w:r w:rsidRPr="00CB06DA">
        <w:rPr>
          <w:sz w:val="28"/>
          <w:szCs w:val="28"/>
        </w:rPr>
        <w:t>ZnO:Y</w:t>
      </w:r>
      <w:proofErr w:type="spellEnd"/>
      <w:proofErr w:type="gramEnd"/>
      <w:r w:rsidRPr="00CB06DA">
        <w:rPr>
          <w:sz w:val="28"/>
          <w:szCs w:val="28"/>
        </w:rPr>
        <w:t xml:space="preserve"> thin films were determined</w:t>
      </w:r>
      <w:r>
        <w:rPr>
          <w:sz w:val="28"/>
          <w:szCs w:val="28"/>
        </w:rPr>
        <w:t>:</w:t>
      </w:r>
    </w:p>
    <w:p w14:paraId="3D359996" w14:textId="17BC98FD" w:rsidR="00CB06DA" w:rsidRDefault="00CB06DA" w:rsidP="00CB06DA">
      <w:pPr>
        <w:tabs>
          <w:tab w:val="left" w:pos="2203"/>
        </w:tabs>
        <w:jc w:val="center"/>
        <w:rPr>
          <w:rFonts w:cstheme="minorHAnsi"/>
          <w:color w:val="4D5156"/>
          <w:sz w:val="36"/>
          <w:szCs w:val="36"/>
          <w:shd w:val="clear" w:color="auto" w:fill="FFFFFF"/>
        </w:rPr>
      </w:pPr>
      <w:r w:rsidRPr="00CB06DA">
        <w:rPr>
          <w:rFonts w:cstheme="minorHAnsi"/>
          <w:sz w:val="36"/>
          <w:szCs w:val="36"/>
        </w:rPr>
        <w:t>2</w:t>
      </w:r>
      <w:r w:rsidRPr="00CB06DA">
        <w:rPr>
          <w:rFonts w:cstheme="minorHAnsi"/>
          <w:sz w:val="36"/>
          <w:szCs w:val="36"/>
        </w:rPr>
        <w:t>d</w:t>
      </w:r>
      <w:r w:rsidRPr="00CB06DA">
        <w:rPr>
          <w:rFonts w:cstheme="minorHAnsi"/>
          <w:sz w:val="36"/>
          <w:szCs w:val="36"/>
          <w:vertAlign w:val="subscript"/>
        </w:rPr>
        <w:t>hkl</w:t>
      </w:r>
      <w:r w:rsidRPr="00CB06DA">
        <w:rPr>
          <w:rFonts w:cstheme="minorHAnsi"/>
          <w:sz w:val="36"/>
          <w:szCs w:val="36"/>
          <w:vertAlign w:val="subscript"/>
        </w:rPr>
        <w:t xml:space="preserve"> </w:t>
      </w:r>
      <w:proofErr w:type="spellStart"/>
      <w:r w:rsidRPr="00CB06DA">
        <w:rPr>
          <w:rFonts w:cstheme="minorHAnsi"/>
          <w:sz w:val="36"/>
          <w:szCs w:val="36"/>
        </w:rPr>
        <w:t>sin</w:t>
      </w:r>
      <w:r w:rsidRPr="00CB06DA">
        <w:rPr>
          <w:rFonts w:cstheme="minorHAnsi"/>
          <w:sz w:val="36"/>
          <w:szCs w:val="36"/>
        </w:rPr>
        <w:t>θ</w:t>
      </w:r>
      <w:proofErr w:type="spellEnd"/>
      <w:r w:rsidRPr="00CB06DA">
        <w:rPr>
          <w:rFonts w:cstheme="minorHAnsi"/>
          <w:sz w:val="36"/>
          <w:szCs w:val="36"/>
        </w:rPr>
        <w:t xml:space="preserve"> = </w:t>
      </w:r>
      <w:proofErr w:type="spellStart"/>
      <w:r w:rsidRPr="00F25A68">
        <w:rPr>
          <w:rFonts w:cstheme="minorHAnsi"/>
          <w:color w:val="000000" w:themeColor="text1"/>
          <w:sz w:val="36"/>
          <w:szCs w:val="36"/>
        </w:rPr>
        <w:t>n</w:t>
      </w:r>
      <w:r w:rsidRPr="00F25A68">
        <w:rPr>
          <w:rFonts w:cstheme="minorHAnsi"/>
          <w:color w:val="000000" w:themeColor="text1"/>
          <w:sz w:val="36"/>
          <w:szCs w:val="36"/>
          <w:shd w:val="clear" w:color="auto" w:fill="FFFFFF"/>
        </w:rPr>
        <w:t>λ</w:t>
      </w:r>
      <w:proofErr w:type="spellEnd"/>
      <w:r w:rsidRPr="00F25A6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----------------(1)</w:t>
      </w:r>
    </w:p>
    <w:p w14:paraId="22F978C1" w14:textId="6DFF2FD6" w:rsidR="00A6427E" w:rsidRDefault="00A6427E" w:rsidP="00F25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25A68">
        <w:rPr>
          <w:rFonts w:ascii="Times New Roman" w:hAnsi="Times New Roman" w:cs="Times New Roman"/>
          <w:kern w:val="0"/>
          <w:sz w:val="28"/>
          <w:szCs w:val="28"/>
        </w:rPr>
        <w:t>The lattice parameters for all the films were estimated from d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values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 xml:space="preserve"> observed from d-values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,</w:t>
      </w:r>
      <w:r w:rsidR="00F25A6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according to the following equation [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3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]:</w:t>
      </w:r>
    </w:p>
    <w:p w14:paraId="7CFD427D" w14:textId="77777777" w:rsidR="00F25A68" w:rsidRPr="00F25A68" w:rsidRDefault="00F25A68" w:rsidP="00F25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BAEC6C" w14:textId="7814E235" w:rsidR="00A6427E" w:rsidRPr="00F25A68" w:rsidRDefault="00A6427E" w:rsidP="00A6427E">
      <w:pPr>
        <w:tabs>
          <w:tab w:val="left" w:pos="2203"/>
        </w:tabs>
        <w:rPr>
          <w:rFonts w:eastAsiaTheme="minorEastAsia" w:cstheme="minorHAnsi"/>
          <w:color w:val="000000" w:themeColor="text1"/>
          <w:sz w:val="36"/>
          <w:szCs w:val="36"/>
          <w:shd w:val="clear" w:color="auto" w:fill="FFFFFF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hkl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+hk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3a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000000" w:themeColor="text1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</m:oMath>
      <w:r w:rsidRPr="00F25A68">
        <w:rPr>
          <w:rFonts w:eastAsiaTheme="minorEastAsia" w:cstheme="minorHAnsi"/>
          <w:color w:val="000000" w:themeColor="text1"/>
          <w:sz w:val="36"/>
          <w:szCs w:val="36"/>
          <w:shd w:val="clear" w:color="auto" w:fill="FFFFFF"/>
        </w:rPr>
        <w:t xml:space="preserve"> --------------------(2)</w:t>
      </w:r>
    </w:p>
    <w:p w14:paraId="04D5273C" w14:textId="77777777" w:rsidR="00F25A68" w:rsidRDefault="00F25A68" w:rsidP="00A6427E">
      <w:pPr>
        <w:tabs>
          <w:tab w:val="left" w:pos="2203"/>
        </w:tabs>
        <w:rPr>
          <w:rFonts w:eastAsiaTheme="minorEastAsia" w:cstheme="minorHAnsi"/>
          <w:color w:val="4D5156"/>
          <w:sz w:val="36"/>
          <w:szCs w:val="36"/>
          <w:shd w:val="clear" w:color="auto" w:fill="FFFFFF"/>
        </w:rPr>
      </w:pPr>
    </w:p>
    <w:p w14:paraId="08C587BC" w14:textId="1CF4EA2D" w:rsidR="00F25A68" w:rsidRDefault="00F25A68" w:rsidP="00F25A68">
      <w:pPr>
        <w:tabs>
          <w:tab w:val="left" w:pos="2203"/>
        </w:tabs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>Using the Debye-Scherrer's formula</w:t>
      </w:r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[4]</w:t>
      </w:r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the size of the crystallites of pure and Y doped </w:t>
      </w:r>
      <w:proofErr w:type="spellStart"/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>ZnO</w:t>
      </w:r>
      <w:proofErr w:type="spellEnd"/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was calculated based on the broadening of the preferential orientation (002).</w:t>
      </w:r>
    </w:p>
    <w:p w14:paraId="460EE897" w14:textId="795900C5" w:rsidR="00F25A68" w:rsidRPr="006A473E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shd w:val="clear" w:color="auto" w:fill="FFFFFF"/>
          </w:rPr>
          <m:t>D=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kλ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βcosθ</m:t>
            </m:r>
          </m:den>
        </m:f>
      </m:oMath>
      <w:r w:rsidRPr="006A473E"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  <w:t xml:space="preserve"> ---------------------------(3)</w:t>
      </w:r>
    </w:p>
    <w:p w14:paraId="519965F1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D12302E" w14:textId="411CBED4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F25A68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Where k stands for the form factor, is the X-ray wavelength, is the Bragg's angle of the X-ray diffraction peak, and is the full width at half maximum in radians of (002) orientation. Table 2 lists the values of crystallite size for the various samples.</w:t>
      </w:r>
    </w:p>
    <w:tbl>
      <w:tblPr>
        <w:tblStyle w:val="TableGrid"/>
        <w:tblpPr w:leftFromText="180" w:rightFromText="180" w:vertAnchor="text" w:horzAnchor="margin" w:tblpY="389"/>
        <w:tblW w:w="9937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1917"/>
      </w:tblGrid>
      <w:tr w:rsidR="006A473E" w14:paraId="27F48D50" w14:textId="77777777" w:rsidTr="00B772F6">
        <w:trPr>
          <w:trHeight w:val="368"/>
        </w:trPr>
        <w:tc>
          <w:tcPr>
            <w:tcW w:w="2005" w:type="dxa"/>
            <w:vMerge w:val="restart"/>
          </w:tcPr>
          <w:p w14:paraId="72A1BC8B" w14:textId="77777777" w:rsidR="006A473E" w:rsidRDefault="006A473E" w:rsidP="00B772F6">
            <w:pPr>
              <w:jc w:val="center"/>
            </w:pPr>
            <w:r>
              <w:t>Parameters</w:t>
            </w:r>
          </w:p>
        </w:tc>
        <w:tc>
          <w:tcPr>
            <w:tcW w:w="7932" w:type="dxa"/>
            <w:gridSpan w:val="4"/>
          </w:tcPr>
          <w:p w14:paraId="41CB1BC1" w14:textId="77777777" w:rsidR="006A473E" w:rsidRDefault="006A473E" w:rsidP="00B772F6">
            <w:pPr>
              <w:jc w:val="center"/>
            </w:pPr>
            <w:r>
              <w:t>Sample</w:t>
            </w:r>
          </w:p>
        </w:tc>
      </w:tr>
      <w:tr w:rsidR="006A473E" w14:paraId="17879499" w14:textId="77777777" w:rsidTr="00B772F6">
        <w:trPr>
          <w:trHeight w:val="205"/>
        </w:trPr>
        <w:tc>
          <w:tcPr>
            <w:tcW w:w="2005" w:type="dxa"/>
            <w:vMerge/>
          </w:tcPr>
          <w:p w14:paraId="6BDDF380" w14:textId="77777777" w:rsidR="006A473E" w:rsidRDefault="006A473E" w:rsidP="00B772F6">
            <w:pPr>
              <w:jc w:val="center"/>
            </w:pPr>
          </w:p>
        </w:tc>
        <w:tc>
          <w:tcPr>
            <w:tcW w:w="2005" w:type="dxa"/>
          </w:tcPr>
          <w:p w14:paraId="3CD3739B" w14:textId="77777777" w:rsidR="006A473E" w:rsidRDefault="006A473E" w:rsidP="00B772F6">
            <w:pPr>
              <w:jc w:val="center"/>
            </w:pPr>
            <w:r>
              <w:t xml:space="preserve">Pure </w:t>
            </w:r>
            <w:proofErr w:type="spellStart"/>
            <w:r>
              <w:t>ZnO</w:t>
            </w:r>
            <w:proofErr w:type="spellEnd"/>
          </w:p>
        </w:tc>
        <w:tc>
          <w:tcPr>
            <w:tcW w:w="2005" w:type="dxa"/>
          </w:tcPr>
          <w:p w14:paraId="1706CFC3" w14:textId="77777777" w:rsidR="006A473E" w:rsidRDefault="006A473E" w:rsidP="00B772F6">
            <w:pPr>
              <w:jc w:val="center"/>
            </w:pPr>
            <w:r>
              <w:t>1% YZO</w:t>
            </w:r>
          </w:p>
        </w:tc>
        <w:tc>
          <w:tcPr>
            <w:tcW w:w="2005" w:type="dxa"/>
          </w:tcPr>
          <w:p w14:paraId="7B5D2621" w14:textId="77777777" w:rsidR="006A473E" w:rsidRDefault="006A473E" w:rsidP="00B772F6">
            <w:pPr>
              <w:jc w:val="center"/>
            </w:pPr>
            <w:r>
              <w:t>3% YZO</w:t>
            </w:r>
          </w:p>
        </w:tc>
        <w:tc>
          <w:tcPr>
            <w:tcW w:w="1917" w:type="dxa"/>
          </w:tcPr>
          <w:p w14:paraId="3F8CCC54" w14:textId="77777777" w:rsidR="006A473E" w:rsidRDefault="006A473E" w:rsidP="00B772F6">
            <w:pPr>
              <w:jc w:val="center"/>
            </w:pPr>
            <w:r>
              <w:t>5% YZO</w:t>
            </w:r>
          </w:p>
        </w:tc>
      </w:tr>
      <w:tr w:rsidR="006A473E" w14:paraId="6C4B3E1F" w14:textId="77777777" w:rsidTr="00B772F6">
        <w:trPr>
          <w:trHeight w:val="368"/>
        </w:trPr>
        <w:tc>
          <w:tcPr>
            <w:tcW w:w="2005" w:type="dxa"/>
          </w:tcPr>
          <w:p w14:paraId="475C8281" w14:textId="77777777" w:rsidR="006A473E" w:rsidRPr="007B0046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(nm)</w:t>
            </w:r>
          </w:p>
        </w:tc>
        <w:tc>
          <w:tcPr>
            <w:tcW w:w="2005" w:type="dxa"/>
          </w:tcPr>
          <w:p w14:paraId="43076F4C" w14:textId="77777777" w:rsidR="006A473E" w:rsidRPr="001130C3" w:rsidRDefault="006A473E" w:rsidP="00B772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18.822</w:t>
            </w:r>
          </w:p>
        </w:tc>
        <w:tc>
          <w:tcPr>
            <w:tcW w:w="2005" w:type="dxa"/>
          </w:tcPr>
          <w:p w14:paraId="0F4587AF" w14:textId="77777777" w:rsidR="006A473E" w:rsidRDefault="006A473E" w:rsidP="00B772F6">
            <w:pPr>
              <w:jc w:val="center"/>
            </w:pPr>
            <w:r>
              <w:t>12.319</w:t>
            </w:r>
          </w:p>
        </w:tc>
        <w:tc>
          <w:tcPr>
            <w:tcW w:w="2005" w:type="dxa"/>
          </w:tcPr>
          <w:p w14:paraId="79730C94" w14:textId="77777777" w:rsidR="006A473E" w:rsidRPr="00804384" w:rsidRDefault="006A473E" w:rsidP="00B772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18.338</w:t>
            </w:r>
          </w:p>
        </w:tc>
        <w:tc>
          <w:tcPr>
            <w:tcW w:w="1917" w:type="dxa"/>
          </w:tcPr>
          <w:p w14:paraId="4DB678F5" w14:textId="77777777" w:rsidR="006A473E" w:rsidRDefault="006A473E" w:rsidP="00B772F6">
            <w:pPr>
              <w:jc w:val="center"/>
            </w:pPr>
            <w:r w:rsidRPr="00CB04FB">
              <w:t>13.764</w:t>
            </w:r>
          </w:p>
        </w:tc>
      </w:tr>
      <w:tr w:rsidR="006A473E" w14:paraId="40D85FF2" w14:textId="77777777" w:rsidTr="00B772F6">
        <w:trPr>
          <w:trHeight w:val="387"/>
        </w:trPr>
        <w:tc>
          <w:tcPr>
            <w:tcW w:w="2005" w:type="dxa"/>
          </w:tcPr>
          <w:p w14:paraId="1D9B136A" w14:textId="77777777" w:rsidR="006A473E" w:rsidRDefault="006A473E" w:rsidP="00B772F6">
            <w:pPr>
              <w:jc w:val="center"/>
            </w:pPr>
            <w:r w:rsidRPr="005B37DE">
              <w:t>a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61448F90" w14:textId="77777777" w:rsidR="006A473E" w:rsidRDefault="006A473E" w:rsidP="00B772F6">
            <w:pPr>
              <w:jc w:val="center"/>
            </w:pPr>
            <w:r>
              <w:t>3.342</w:t>
            </w:r>
          </w:p>
        </w:tc>
        <w:tc>
          <w:tcPr>
            <w:tcW w:w="2005" w:type="dxa"/>
          </w:tcPr>
          <w:p w14:paraId="1E448126" w14:textId="77777777" w:rsidR="006A473E" w:rsidRDefault="006A473E" w:rsidP="00B772F6">
            <w:pPr>
              <w:jc w:val="center"/>
            </w:pPr>
            <w:r>
              <w:t>3.871</w:t>
            </w:r>
          </w:p>
        </w:tc>
        <w:tc>
          <w:tcPr>
            <w:tcW w:w="2005" w:type="dxa"/>
          </w:tcPr>
          <w:p w14:paraId="451B4F9E" w14:textId="77777777" w:rsidR="006A473E" w:rsidRDefault="006A473E" w:rsidP="00B772F6">
            <w:pPr>
              <w:jc w:val="center"/>
            </w:pPr>
            <w:r>
              <w:t>3.273</w:t>
            </w:r>
          </w:p>
        </w:tc>
        <w:tc>
          <w:tcPr>
            <w:tcW w:w="1917" w:type="dxa"/>
          </w:tcPr>
          <w:p w14:paraId="43CA3ECF" w14:textId="77777777" w:rsidR="006A473E" w:rsidRDefault="006A473E" w:rsidP="00B772F6">
            <w:pPr>
              <w:jc w:val="center"/>
            </w:pPr>
            <w:r>
              <w:t>3.234</w:t>
            </w:r>
          </w:p>
        </w:tc>
      </w:tr>
      <w:tr w:rsidR="006A473E" w14:paraId="17BBFBDF" w14:textId="77777777" w:rsidTr="00B772F6">
        <w:trPr>
          <w:trHeight w:val="368"/>
        </w:trPr>
        <w:tc>
          <w:tcPr>
            <w:tcW w:w="2005" w:type="dxa"/>
          </w:tcPr>
          <w:p w14:paraId="47E58B19" w14:textId="77777777" w:rsidR="006A473E" w:rsidRDefault="006A473E" w:rsidP="00B772F6">
            <w:pPr>
              <w:jc w:val="center"/>
            </w:pPr>
            <w:r w:rsidRPr="005B37DE">
              <w:t>c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C162329" w14:textId="77777777" w:rsidR="006A473E" w:rsidRDefault="006A473E" w:rsidP="00B772F6">
            <w:pPr>
              <w:jc w:val="center"/>
            </w:pPr>
            <w:r>
              <w:t>5.273</w:t>
            </w:r>
          </w:p>
        </w:tc>
        <w:tc>
          <w:tcPr>
            <w:tcW w:w="2005" w:type="dxa"/>
          </w:tcPr>
          <w:p w14:paraId="084FB703" w14:textId="77777777" w:rsidR="006A473E" w:rsidRDefault="006A473E" w:rsidP="00B772F6">
            <w:pPr>
              <w:jc w:val="center"/>
            </w:pPr>
            <w:r>
              <w:t>5.323</w:t>
            </w:r>
          </w:p>
        </w:tc>
        <w:tc>
          <w:tcPr>
            <w:tcW w:w="2005" w:type="dxa"/>
          </w:tcPr>
          <w:p w14:paraId="752C9CC4" w14:textId="77777777" w:rsidR="006A473E" w:rsidRDefault="006A473E" w:rsidP="00B772F6">
            <w:pPr>
              <w:jc w:val="center"/>
            </w:pPr>
            <w:r>
              <w:t>5.242</w:t>
            </w:r>
          </w:p>
        </w:tc>
        <w:tc>
          <w:tcPr>
            <w:tcW w:w="1917" w:type="dxa"/>
          </w:tcPr>
          <w:p w14:paraId="4B8711A0" w14:textId="77777777" w:rsidR="006A473E" w:rsidRDefault="006A473E" w:rsidP="00B772F6">
            <w:pPr>
              <w:jc w:val="center"/>
            </w:pPr>
            <w:r>
              <w:t>5.223</w:t>
            </w:r>
          </w:p>
        </w:tc>
      </w:tr>
      <w:tr w:rsidR="006A473E" w14:paraId="60C7C5DD" w14:textId="77777777" w:rsidTr="00B772F6">
        <w:trPr>
          <w:trHeight w:val="387"/>
        </w:trPr>
        <w:tc>
          <w:tcPr>
            <w:tcW w:w="2005" w:type="dxa"/>
          </w:tcPr>
          <w:p w14:paraId="21BA5E33" w14:textId="77777777" w:rsidR="006A473E" w:rsidRDefault="006A473E" w:rsidP="00B772F6">
            <w:pPr>
              <w:jc w:val="center"/>
            </w:pPr>
            <w:r w:rsidRPr="005B37DE">
              <w:t>c/a</w:t>
            </w:r>
          </w:p>
        </w:tc>
        <w:tc>
          <w:tcPr>
            <w:tcW w:w="2005" w:type="dxa"/>
          </w:tcPr>
          <w:p w14:paraId="05BC893F" w14:textId="77777777" w:rsidR="006A473E" w:rsidRDefault="006A473E" w:rsidP="00B772F6">
            <w:pPr>
              <w:jc w:val="center"/>
            </w:pPr>
            <w:r>
              <w:t>1.577</w:t>
            </w:r>
          </w:p>
        </w:tc>
        <w:tc>
          <w:tcPr>
            <w:tcW w:w="2005" w:type="dxa"/>
          </w:tcPr>
          <w:p w14:paraId="2CE9EAA3" w14:textId="77777777" w:rsidR="006A473E" w:rsidRDefault="006A473E" w:rsidP="00B772F6">
            <w:pPr>
              <w:jc w:val="center"/>
            </w:pPr>
            <w:r>
              <w:t>1.374</w:t>
            </w:r>
          </w:p>
        </w:tc>
        <w:tc>
          <w:tcPr>
            <w:tcW w:w="2005" w:type="dxa"/>
          </w:tcPr>
          <w:p w14:paraId="24DB4443" w14:textId="77777777" w:rsidR="006A473E" w:rsidRDefault="006A473E" w:rsidP="00B772F6">
            <w:pPr>
              <w:jc w:val="center"/>
            </w:pPr>
            <w:r>
              <w:t>1.602</w:t>
            </w:r>
          </w:p>
        </w:tc>
        <w:tc>
          <w:tcPr>
            <w:tcW w:w="1917" w:type="dxa"/>
          </w:tcPr>
          <w:p w14:paraId="0AD6780A" w14:textId="77777777" w:rsidR="006A473E" w:rsidRDefault="006A473E" w:rsidP="00B772F6">
            <w:pPr>
              <w:jc w:val="center"/>
            </w:pPr>
            <w:r>
              <w:t>1.616</w:t>
            </w:r>
          </w:p>
        </w:tc>
      </w:tr>
      <w:tr w:rsidR="006A473E" w14:paraId="2588635F" w14:textId="77777777" w:rsidTr="00B772F6">
        <w:trPr>
          <w:trHeight w:val="368"/>
        </w:trPr>
        <w:tc>
          <w:tcPr>
            <w:tcW w:w="2005" w:type="dxa"/>
          </w:tcPr>
          <w:p w14:paraId="6AFE8BE5" w14:textId="77777777" w:rsidR="006A473E" w:rsidRDefault="006A473E" w:rsidP="00B772F6">
            <w:pPr>
              <w:jc w:val="center"/>
            </w:pPr>
            <w:r w:rsidRPr="005B37DE">
              <w:t>d</w:t>
            </w:r>
            <w:r w:rsidRPr="005B37DE">
              <w:rPr>
                <w:vertAlign w:val="subscript"/>
              </w:rPr>
              <w:t>002</w:t>
            </w:r>
            <w:r w:rsidRPr="005B37DE">
              <w:t xml:space="preserve">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249BD83" w14:textId="77777777" w:rsidR="006A473E" w:rsidRDefault="006A473E" w:rsidP="00B772F6">
            <w:pPr>
              <w:jc w:val="center"/>
            </w:pPr>
            <w:r>
              <w:t>2.55</w:t>
            </w:r>
          </w:p>
        </w:tc>
        <w:tc>
          <w:tcPr>
            <w:tcW w:w="2005" w:type="dxa"/>
          </w:tcPr>
          <w:p w14:paraId="21F82508" w14:textId="77777777" w:rsidR="006A473E" w:rsidRDefault="006A473E" w:rsidP="00B772F6">
            <w:pPr>
              <w:jc w:val="center"/>
            </w:pPr>
            <w:r>
              <w:t>6.7</w:t>
            </w:r>
          </w:p>
        </w:tc>
        <w:tc>
          <w:tcPr>
            <w:tcW w:w="2005" w:type="dxa"/>
          </w:tcPr>
          <w:p w14:paraId="47B16099" w14:textId="77777777" w:rsidR="006A473E" w:rsidRDefault="006A473E" w:rsidP="00B772F6">
            <w:pPr>
              <w:jc w:val="center"/>
            </w:pPr>
            <w:r>
              <w:t>2.56</w:t>
            </w:r>
          </w:p>
        </w:tc>
        <w:tc>
          <w:tcPr>
            <w:tcW w:w="1917" w:type="dxa"/>
          </w:tcPr>
          <w:p w14:paraId="7AD3AC5D" w14:textId="77777777" w:rsidR="006A473E" w:rsidRDefault="006A473E" w:rsidP="00B772F6">
            <w:pPr>
              <w:jc w:val="center"/>
            </w:pPr>
            <w:r>
              <w:t>2.51</w:t>
            </w:r>
          </w:p>
        </w:tc>
      </w:tr>
      <w:tr w:rsidR="006A473E" w14:paraId="0EE0DC7D" w14:textId="77777777" w:rsidTr="00B772F6">
        <w:trPr>
          <w:trHeight w:val="387"/>
        </w:trPr>
        <w:tc>
          <w:tcPr>
            <w:tcW w:w="2005" w:type="dxa"/>
          </w:tcPr>
          <w:p w14:paraId="7C590973" w14:textId="77777777" w:rsidR="006A473E" w:rsidRPr="005B37DE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 (Å</w:t>
            </w:r>
            <w:r w:rsidRPr="005B37DE">
              <w:rPr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7ECC8E17" w14:textId="77777777" w:rsidR="006A473E" w:rsidRDefault="006A473E" w:rsidP="00B772F6">
            <w:pPr>
              <w:jc w:val="center"/>
            </w:pPr>
            <w:r>
              <w:t>51.033</w:t>
            </w:r>
          </w:p>
        </w:tc>
        <w:tc>
          <w:tcPr>
            <w:tcW w:w="2005" w:type="dxa"/>
          </w:tcPr>
          <w:p w14:paraId="0873F861" w14:textId="77777777" w:rsidR="006A473E" w:rsidRDefault="006A473E" w:rsidP="00B772F6">
            <w:pPr>
              <w:jc w:val="center"/>
            </w:pPr>
            <w:r>
              <w:t>69.077</w:t>
            </w:r>
          </w:p>
        </w:tc>
        <w:tc>
          <w:tcPr>
            <w:tcW w:w="2005" w:type="dxa"/>
          </w:tcPr>
          <w:p w14:paraId="640C43A1" w14:textId="77777777" w:rsidR="006A473E" w:rsidRDefault="006A473E" w:rsidP="00B772F6">
            <w:pPr>
              <w:jc w:val="center"/>
            </w:pPr>
            <w:r>
              <w:t>48.632</w:t>
            </w:r>
          </w:p>
        </w:tc>
        <w:tc>
          <w:tcPr>
            <w:tcW w:w="1917" w:type="dxa"/>
          </w:tcPr>
          <w:p w14:paraId="458B5FA3" w14:textId="77777777" w:rsidR="006A473E" w:rsidRDefault="006A473E" w:rsidP="00B772F6">
            <w:pPr>
              <w:jc w:val="center"/>
            </w:pPr>
            <w:r>
              <w:t>47.307</w:t>
            </w:r>
          </w:p>
        </w:tc>
      </w:tr>
      <w:tr w:rsidR="006A473E" w14:paraId="07B59D65" w14:textId="77777777" w:rsidTr="00B772F6">
        <w:trPr>
          <w:trHeight w:val="387"/>
        </w:trPr>
        <w:tc>
          <w:tcPr>
            <w:tcW w:w="2005" w:type="dxa"/>
          </w:tcPr>
          <w:p w14:paraId="63776CF1" w14:textId="77777777" w:rsidR="006A473E" w:rsidRPr="005B37DE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Density (g/cm</w:t>
            </w:r>
            <w:r w:rsidRPr="005B37DE">
              <w:rPr>
                <w:sz w:val="23"/>
                <w:szCs w:val="23"/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779B48F7" w14:textId="77777777" w:rsidR="006A473E" w:rsidRDefault="006A473E" w:rsidP="00B772F6">
            <w:pPr>
              <w:jc w:val="center"/>
            </w:pPr>
            <w:r>
              <w:t>5.295</w:t>
            </w:r>
          </w:p>
        </w:tc>
        <w:tc>
          <w:tcPr>
            <w:tcW w:w="2005" w:type="dxa"/>
          </w:tcPr>
          <w:p w14:paraId="1B4B2FC2" w14:textId="77777777" w:rsidR="006A473E" w:rsidRDefault="006A473E" w:rsidP="00B772F6">
            <w:pPr>
              <w:jc w:val="center"/>
            </w:pPr>
            <w:r>
              <w:t>3.912</w:t>
            </w:r>
          </w:p>
        </w:tc>
        <w:tc>
          <w:tcPr>
            <w:tcW w:w="2005" w:type="dxa"/>
          </w:tcPr>
          <w:p w14:paraId="2E73DB0D" w14:textId="77777777" w:rsidR="006A473E" w:rsidRDefault="006A473E" w:rsidP="00B772F6">
            <w:pPr>
              <w:jc w:val="center"/>
            </w:pPr>
            <w:r>
              <w:t>5.556</w:t>
            </w:r>
          </w:p>
        </w:tc>
        <w:tc>
          <w:tcPr>
            <w:tcW w:w="1917" w:type="dxa"/>
          </w:tcPr>
          <w:p w14:paraId="2DA756B1" w14:textId="77777777" w:rsidR="006A473E" w:rsidRDefault="006A473E" w:rsidP="00B772F6">
            <w:pPr>
              <w:jc w:val="center"/>
            </w:pPr>
            <w:r>
              <w:t>5.712</w:t>
            </w:r>
          </w:p>
        </w:tc>
      </w:tr>
      <w:tr w:rsidR="006A473E" w14:paraId="06F13838" w14:textId="77777777" w:rsidTr="00B772F6">
        <w:trPr>
          <w:trHeight w:val="668"/>
        </w:trPr>
        <w:tc>
          <w:tcPr>
            <w:tcW w:w="2005" w:type="dxa"/>
          </w:tcPr>
          <w:p w14:paraId="5D63DE0B" w14:textId="77777777" w:rsidR="006A473E" w:rsidRPr="005B37DE" w:rsidRDefault="006A473E" w:rsidP="00B772F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Dislocation density * 10</w:t>
            </w:r>
            <w:r w:rsidRPr="005B37DE">
              <w:rPr>
                <w:vertAlign w:val="superscript"/>
              </w:rPr>
              <w:t xml:space="preserve">5 </w:t>
            </w:r>
            <w:r>
              <w:rPr>
                <w:sz w:val="23"/>
                <w:szCs w:val="23"/>
              </w:rPr>
              <w:t>lines/m</w:t>
            </w:r>
            <w:r w:rsidRPr="005B37DE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05" w:type="dxa"/>
          </w:tcPr>
          <w:p w14:paraId="5B4A283B" w14:textId="77777777" w:rsidR="006A473E" w:rsidRDefault="006A473E" w:rsidP="00B772F6">
            <w:pPr>
              <w:jc w:val="center"/>
            </w:pPr>
            <w:r>
              <w:t>2.82</w:t>
            </w:r>
          </w:p>
        </w:tc>
        <w:tc>
          <w:tcPr>
            <w:tcW w:w="2005" w:type="dxa"/>
          </w:tcPr>
          <w:p w14:paraId="46F65047" w14:textId="77777777" w:rsidR="006A473E" w:rsidRDefault="006A473E" w:rsidP="00B772F6">
            <w:pPr>
              <w:jc w:val="center"/>
            </w:pPr>
            <w:r>
              <w:t>6.59</w:t>
            </w:r>
          </w:p>
        </w:tc>
        <w:tc>
          <w:tcPr>
            <w:tcW w:w="2005" w:type="dxa"/>
          </w:tcPr>
          <w:p w14:paraId="72727C65" w14:textId="77777777" w:rsidR="006A473E" w:rsidRDefault="006A473E" w:rsidP="00B772F6">
            <w:pPr>
              <w:jc w:val="center"/>
            </w:pPr>
            <w:r>
              <w:t>2.97</w:t>
            </w:r>
          </w:p>
        </w:tc>
        <w:tc>
          <w:tcPr>
            <w:tcW w:w="1917" w:type="dxa"/>
          </w:tcPr>
          <w:p w14:paraId="2D1B2F45" w14:textId="77777777" w:rsidR="006A473E" w:rsidRDefault="006A473E" w:rsidP="00B772F6">
            <w:pPr>
              <w:jc w:val="center"/>
            </w:pPr>
            <w:r>
              <w:t>5.28</w:t>
            </w:r>
          </w:p>
        </w:tc>
      </w:tr>
      <w:tr w:rsidR="006A473E" w14:paraId="0ABE6203" w14:textId="77777777" w:rsidTr="00B772F6">
        <w:trPr>
          <w:trHeight w:val="368"/>
        </w:trPr>
        <w:tc>
          <w:tcPr>
            <w:tcW w:w="2005" w:type="dxa"/>
          </w:tcPr>
          <w:p w14:paraId="6F068120" w14:textId="77777777" w:rsidR="006A473E" w:rsidRPr="005B37DE" w:rsidRDefault="006A473E" w:rsidP="00B772F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Strain (ɛ) *10</w:t>
            </w:r>
            <w:r w:rsidRPr="005B37DE">
              <w:rPr>
                <w:vertAlign w:val="superscript"/>
              </w:rPr>
              <w:t>-3</w:t>
            </w:r>
          </w:p>
        </w:tc>
        <w:tc>
          <w:tcPr>
            <w:tcW w:w="2005" w:type="dxa"/>
          </w:tcPr>
          <w:p w14:paraId="67949F16" w14:textId="77777777" w:rsidR="006A473E" w:rsidRDefault="006A473E" w:rsidP="00B772F6">
            <w:pPr>
              <w:jc w:val="center"/>
            </w:pPr>
            <w:r>
              <w:t>3.874</w:t>
            </w:r>
          </w:p>
        </w:tc>
        <w:tc>
          <w:tcPr>
            <w:tcW w:w="2005" w:type="dxa"/>
          </w:tcPr>
          <w:p w14:paraId="4BA7EF93" w14:textId="77777777" w:rsidR="006A473E" w:rsidRDefault="006A473E" w:rsidP="00B772F6">
            <w:pPr>
              <w:jc w:val="center"/>
            </w:pPr>
            <w:r>
              <w:t>4.472</w:t>
            </w:r>
          </w:p>
        </w:tc>
        <w:tc>
          <w:tcPr>
            <w:tcW w:w="2005" w:type="dxa"/>
          </w:tcPr>
          <w:p w14:paraId="049EB96A" w14:textId="77777777" w:rsidR="006A473E" w:rsidRDefault="006A473E" w:rsidP="00B772F6">
            <w:pPr>
              <w:jc w:val="center"/>
            </w:pPr>
            <w:r>
              <w:t>3.931</w:t>
            </w:r>
          </w:p>
        </w:tc>
        <w:tc>
          <w:tcPr>
            <w:tcW w:w="1917" w:type="dxa"/>
          </w:tcPr>
          <w:p w14:paraId="583BD745" w14:textId="77777777" w:rsidR="006A473E" w:rsidRDefault="006A473E" w:rsidP="00B772F6">
            <w:pPr>
              <w:jc w:val="center"/>
            </w:pPr>
            <w:r>
              <w:t>4.375</w:t>
            </w:r>
          </w:p>
        </w:tc>
      </w:tr>
    </w:tbl>
    <w:p w14:paraId="79C1BF23" w14:textId="77777777" w:rsidR="006A473E" w:rsidRDefault="006A473E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78FBC135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7C410B8C" w14:textId="77777777" w:rsidR="006A473E" w:rsidRDefault="006A473E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579C957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1C289671" w14:textId="0EEB7943" w:rsidR="00F25A68" w:rsidRDefault="006A473E" w:rsidP="006A4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Micro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kern w:val="0"/>
          <w:sz w:val="24"/>
          <w:szCs w:val="24"/>
        </w:rPr>
        <w:t>strain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sz w:val="23"/>
          <w:szCs w:val="23"/>
        </w:rPr>
        <w:t>ɛ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for each film was also determined by using the tangent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</w:t>
      </w:r>
      <w:r>
        <w:rPr>
          <w:rFonts w:ascii="Times New Roman" w:hAnsi="Times New Roman" w:cs="Times New Roman"/>
          <w:kern w:val="0"/>
          <w:sz w:val="24"/>
          <w:szCs w:val="24"/>
        </w:rPr>
        <w:t>ormula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]:</w:t>
      </w:r>
    </w:p>
    <w:p w14:paraId="41C6A747" w14:textId="19CB9C7A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shd w:val="clear" w:color="auto" w:fill="FFFFFF"/>
          </w:rPr>
          <m:t>ɛ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β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4tan</m:t>
            </m:r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θ</m:t>
            </m:r>
          </m:den>
        </m:f>
      </m:oMath>
      <w:r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  <w:t xml:space="preserve"> -------------------(4)</w:t>
      </w:r>
    </w:p>
    <w:p w14:paraId="27DF172B" w14:textId="77777777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</w:p>
    <w:p w14:paraId="790AD2AD" w14:textId="46E1211E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In the result, from the values of this table, the </w:t>
      </w:r>
      <w:proofErr w:type="spell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microstrain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is given. From the given value, it is observed that in 1% YZO </w:t>
      </w:r>
      <w:proofErr w:type="spell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microstrain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increased, then reduced in 3% YZO, and again increased in the 5% YZO.</w:t>
      </w:r>
    </w:p>
    <w:p w14:paraId="7CAEFBF6" w14:textId="788851AA" w:rsidR="006A473E" w:rsidRP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From the structural </w:t>
      </w:r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analysis, it is obtained that, Y has been successfully doped within the </w:t>
      </w:r>
      <w:proofErr w:type="spellStart"/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ZnO</w:t>
      </w:r>
      <w:proofErr w:type="spellEnd"/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thin film, although there are several impurities are seen due to environmental issues.</w:t>
      </w:r>
    </w:p>
    <w:p w14:paraId="0533D4BC" w14:textId="77777777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5B2D22F1" w14:textId="77777777" w:rsidR="00F25A68" w:rsidRDefault="00F25A68" w:rsidP="00F25A68">
      <w:pPr>
        <w:tabs>
          <w:tab w:val="left" w:pos="2203"/>
        </w:tabs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5708BED" w14:textId="77777777" w:rsidR="00F25A68" w:rsidRPr="00F25A68" w:rsidRDefault="00F25A68" w:rsidP="00A6427E">
      <w:pPr>
        <w:tabs>
          <w:tab w:val="left" w:pos="2203"/>
        </w:tabs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E5C4478" w14:textId="77777777" w:rsidR="00F25A68" w:rsidRPr="00F25A68" w:rsidRDefault="00F25A68" w:rsidP="00A6427E">
      <w:pPr>
        <w:tabs>
          <w:tab w:val="left" w:pos="2203"/>
        </w:tabs>
        <w:rPr>
          <w:rFonts w:cstheme="minorHAnsi"/>
          <w:color w:val="4D5156"/>
          <w:sz w:val="28"/>
          <w:szCs w:val="28"/>
          <w:shd w:val="clear" w:color="auto" w:fill="FFFFFF"/>
        </w:rPr>
      </w:pPr>
    </w:p>
    <w:p w14:paraId="155723D1" w14:textId="77777777" w:rsidR="00CB06DA" w:rsidRPr="00CB06DA" w:rsidRDefault="00CB06DA" w:rsidP="00CB06DA">
      <w:pPr>
        <w:tabs>
          <w:tab w:val="left" w:pos="2203"/>
        </w:tabs>
        <w:jc w:val="center"/>
        <w:rPr>
          <w:rFonts w:cstheme="minorHAnsi"/>
          <w:sz w:val="36"/>
          <w:szCs w:val="36"/>
        </w:rPr>
      </w:pPr>
    </w:p>
    <w:sectPr w:rsidR="00CB06DA" w:rsidRPr="00C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9B79" w14:textId="77777777" w:rsidR="00254F90" w:rsidRDefault="00254F90" w:rsidP="001F449B">
      <w:pPr>
        <w:spacing w:after="0" w:line="240" w:lineRule="auto"/>
      </w:pPr>
      <w:r>
        <w:separator/>
      </w:r>
    </w:p>
  </w:endnote>
  <w:endnote w:type="continuationSeparator" w:id="0">
    <w:p w14:paraId="5CDB395D" w14:textId="77777777" w:rsidR="00254F90" w:rsidRDefault="00254F90" w:rsidP="001F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A6A5" w14:textId="77777777" w:rsidR="00254F90" w:rsidRDefault="00254F90" w:rsidP="001F449B">
      <w:pPr>
        <w:spacing w:after="0" w:line="240" w:lineRule="auto"/>
      </w:pPr>
      <w:r>
        <w:separator/>
      </w:r>
    </w:p>
  </w:footnote>
  <w:footnote w:type="continuationSeparator" w:id="0">
    <w:p w14:paraId="0DD68A53" w14:textId="77777777" w:rsidR="00254F90" w:rsidRDefault="00254F90" w:rsidP="001F4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2"/>
    <w:rsid w:val="00077A92"/>
    <w:rsid w:val="001F449B"/>
    <w:rsid w:val="00254F90"/>
    <w:rsid w:val="00484668"/>
    <w:rsid w:val="006A473E"/>
    <w:rsid w:val="007324C7"/>
    <w:rsid w:val="007F77DB"/>
    <w:rsid w:val="00821B05"/>
    <w:rsid w:val="008225AF"/>
    <w:rsid w:val="008F3694"/>
    <w:rsid w:val="0091461B"/>
    <w:rsid w:val="00A05286"/>
    <w:rsid w:val="00A6427E"/>
    <w:rsid w:val="00A83B91"/>
    <w:rsid w:val="00CB06DA"/>
    <w:rsid w:val="00ED53F4"/>
    <w:rsid w:val="00F25A68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2313"/>
  <w15:chartTrackingRefBased/>
  <w15:docId w15:val="{EC136382-9F63-4097-A395-FC5F2969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9B"/>
  </w:style>
  <w:style w:type="paragraph" w:styleId="Footer">
    <w:name w:val="footer"/>
    <w:basedOn w:val="Normal"/>
    <w:link w:val="FooterChar"/>
    <w:uiPriority w:val="99"/>
    <w:unhideWhenUsed/>
    <w:rsid w:val="001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9B"/>
  </w:style>
  <w:style w:type="table" w:styleId="TableGrid">
    <w:name w:val="Table Grid"/>
    <w:basedOn w:val="TableNormal"/>
    <w:uiPriority w:val="39"/>
    <w:rsid w:val="0048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46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Rahik Ibne Forman</dc:creator>
  <cp:keywords/>
  <dc:description/>
  <cp:lastModifiedBy>Rahik Ibne Forman</cp:lastModifiedBy>
  <cp:revision>2</cp:revision>
  <dcterms:created xsi:type="dcterms:W3CDTF">2023-10-03T18:40:00Z</dcterms:created>
  <dcterms:modified xsi:type="dcterms:W3CDTF">2023-10-03T20:24:00Z</dcterms:modified>
</cp:coreProperties>
</file>