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225E" w14:textId="1339177A" w:rsidR="00E40792" w:rsidRPr="00E40792" w:rsidRDefault="00E40792" w:rsidP="00E40792">
      <w:pPr>
        <w:jc w:val="center"/>
        <w:rPr>
          <w:rFonts w:ascii="Verdana" w:hAnsi="Verdana"/>
          <w:b/>
          <w:bCs/>
          <w:sz w:val="44"/>
          <w:szCs w:val="44"/>
        </w:rPr>
      </w:pPr>
      <w:r w:rsidRPr="00E40792">
        <w:rPr>
          <w:rFonts w:ascii="Verdana" w:hAnsi="Verdana"/>
          <w:b/>
          <w:bCs/>
          <w:sz w:val="44"/>
          <w:szCs w:val="44"/>
        </w:rPr>
        <w:t>DBMS Project</w:t>
      </w:r>
    </w:p>
    <w:p w14:paraId="70F19A9D" w14:textId="30B10F24" w:rsidR="00E40792" w:rsidRDefault="00E40792" w:rsidP="00E40792">
      <w:pPr>
        <w:jc w:val="center"/>
        <w:rPr>
          <w:rFonts w:ascii="Verdana" w:hAnsi="Verdana"/>
          <w:b/>
          <w:bCs/>
          <w:sz w:val="44"/>
          <w:szCs w:val="44"/>
        </w:rPr>
      </w:pPr>
      <w:r w:rsidRPr="00E40792">
        <w:rPr>
          <w:rFonts w:ascii="Verdana" w:hAnsi="Verdana"/>
          <w:b/>
          <w:bCs/>
          <w:sz w:val="44"/>
          <w:szCs w:val="44"/>
        </w:rPr>
        <w:t>Final ER Diagram</w:t>
      </w:r>
      <w:r>
        <w:rPr>
          <w:rFonts w:ascii="Verdana" w:hAnsi="Verdana"/>
          <w:b/>
          <w:bCs/>
          <w:noProof/>
          <w:sz w:val="44"/>
          <w:szCs w:val="44"/>
        </w:rPr>
        <w:drawing>
          <wp:inline distT="0" distB="0" distL="0" distR="0" wp14:anchorId="139EB19F" wp14:editId="31BB3111">
            <wp:extent cx="6858000" cy="2058670"/>
            <wp:effectExtent l="0" t="0" r="0" b="0"/>
            <wp:docPr id="1136354187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4187" name="Picture 2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F0C1" w14:textId="77777777" w:rsidR="00E40792" w:rsidRDefault="00E40792" w:rsidP="00E40792">
      <w:pPr>
        <w:rPr>
          <w:rFonts w:ascii="Verdana" w:hAnsi="Verdana"/>
          <w:b/>
          <w:bCs/>
          <w:sz w:val="44"/>
          <w:szCs w:val="44"/>
        </w:rPr>
      </w:pPr>
    </w:p>
    <w:p w14:paraId="4E5D4E4C" w14:textId="00958C44" w:rsidR="00E40792" w:rsidRDefault="00E40792" w:rsidP="00E40792">
      <w:pPr>
        <w:rPr>
          <w:rFonts w:ascii="Verdana" w:hAnsi="Verdana"/>
          <w:sz w:val="21"/>
          <w:szCs w:val="21"/>
        </w:rPr>
      </w:pPr>
      <w:r w:rsidRPr="00E40792">
        <w:rPr>
          <w:rFonts w:ascii="Verdana" w:hAnsi="Verdana"/>
          <w:sz w:val="21"/>
          <w:szCs w:val="21"/>
        </w:rPr>
        <w:t>In the initial version of our schema</w:t>
      </w:r>
      <w:r>
        <w:rPr>
          <w:rFonts w:ascii="Verdana" w:hAnsi="Verdana"/>
          <w:sz w:val="21"/>
          <w:szCs w:val="21"/>
        </w:rPr>
        <w:t xml:space="preserve">, </w:t>
      </w:r>
      <w:r w:rsidRPr="00E40792">
        <w:rPr>
          <w:rFonts w:ascii="Verdana" w:hAnsi="Verdana"/>
          <w:sz w:val="21"/>
          <w:szCs w:val="21"/>
        </w:rPr>
        <w:t>we designed a more generic, system with a broad `users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table</w:t>
      </w:r>
      <w:r w:rsidRPr="00E40792">
        <w:rPr>
          <w:rFonts w:ascii="Verdana" w:hAnsi="Verdana"/>
          <w:sz w:val="21"/>
          <w:szCs w:val="21"/>
        </w:rPr>
        <w:t>, many possible role values, recipe versioning, separate health-risk rules/violations tables, and extensive use of `updated_at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 xml:space="preserve">triggers and indexes. </w:t>
      </w:r>
    </w:p>
    <w:p w14:paraId="7F802416" w14:textId="355C51CF" w:rsidR="00E40792" w:rsidRPr="00E40792" w:rsidRDefault="00E40792" w:rsidP="00E40792">
      <w:pPr>
        <w:rPr>
          <w:rFonts w:ascii="Verdana" w:hAnsi="Verdana"/>
          <w:sz w:val="21"/>
          <w:szCs w:val="21"/>
        </w:rPr>
      </w:pPr>
      <w:r w:rsidRPr="00E40792">
        <w:rPr>
          <w:rFonts w:ascii="Verdana" w:hAnsi="Verdana"/>
          <w:sz w:val="21"/>
          <w:szCs w:val="21"/>
        </w:rPr>
        <w:t>In the revised schema</w:t>
      </w:r>
      <w:r>
        <w:rPr>
          <w:rFonts w:ascii="Verdana" w:hAnsi="Verdana"/>
          <w:sz w:val="21"/>
          <w:szCs w:val="21"/>
        </w:rPr>
        <w:t xml:space="preserve">, </w:t>
      </w:r>
      <w:r w:rsidRPr="00E40792">
        <w:rPr>
          <w:rFonts w:ascii="Verdana" w:hAnsi="Verdana"/>
          <w:sz w:val="21"/>
          <w:szCs w:val="21"/>
        </w:rPr>
        <w:t>we refocused and simplified the design in MySQL to align more tightly with the project requirements. Roles are now modeled explicitly through a `user_account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table with a constrained ENUM (`MANUFACTURER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`SUPPLIER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`VIEWER</w:t>
      </w:r>
      <w:r>
        <w:rPr>
          <w:rFonts w:ascii="Verdana" w:hAnsi="Verdana"/>
          <w:sz w:val="21"/>
          <w:szCs w:val="21"/>
        </w:rPr>
        <w:t>’</w:t>
      </w:r>
      <w:r w:rsidRPr="00E40792">
        <w:rPr>
          <w:rFonts w:ascii="Verdana" w:hAnsi="Verdana"/>
          <w:sz w:val="21"/>
          <w:szCs w:val="21"/>
        </w:rPr>
        <w:t>) and clear foreign keys to `manufacturer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and `supplier</w:t>
      </w:r>
      <w:r>
        <w:rPr>
          <w:rFonts w:ascii="Verdana" w:hAnsi="Verdana"/>
          <w:sz w:val="21"/>
          <w:szCs w:val="21"/>
        </w:rPr>
        <w:t>,</w:t>
      </w:r>
      <w:r w:rsidRPr="00E40792">
        <w:rPr>
          <w:rFonts w:ascii="Verdana" w:hAnsi="Verdana"/>
          <w:sz w:val="21"/>
          <w:szCs w:val="21"/>
        </w:rPr>
        <w:t xml:space="preserve"> instead of free-form roles and back-links from organizations. We also streamlined the ingredient and supplier side: we replaced multiple composition layers with a single `</w:t>
      </w:r>
      <w:r w:rsidRPr="00E40792">
        <w:rPr>
          <w:rFonts w:ascii="Verdana" w:hAnsi="Verdana"/>
          <w:sz w:val="21"/>
          <w:szCs w:val="21"/>
        </w:rPr>
        <w:t>ingredient material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table enforced by a trigger to keep composition to one level, and we manage supplier pricing and pack sizes via `</w:t>
      </w:r>
      <w:r w:rsidRPr="00E40792">
        <w:rPr>
          <w:rFonts w:ascii="Verdana" w:hAnsi="Verdana"/>
          <w:sz w:val="21"/>
          <w:szCs w:val="21"/>
        </w:rPr>
        <w:t>supplier formulation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and</w:t>
      </w:r>
      <w:r>
        <w:rPr>
          <w:rFonts w:ascii="Verdana" w:hAnsi="Verdana"/>
          <w:sz w:val="21"/>
          <w:szCs w:val="21"/>
        </w:rPr>
        <w:t xml:space="preserve"> </w:t>
      </w:r>
      <w:r w:rsidRPr="00E40792">
        <w:rPr>
          <w:rFonts w:ascii="Verdana" w:hAnsi="Verdana"/>
          <w:sz w:val="21"/>
          <w:szCs w:val="21"/>
        </w:rPr>
        <w:t>`supplier_formulation_material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with non-overlapping effective date ranges. Health and incompatibility logic has been simplified from dedicated rule/violation tables to a global `do_not_combine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list, supported by views and stored procedures that detect violations based on actual batch consumption. Finally, we cleaned up inventory and production by moving to a clearer separation between `ingredient_batch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(on-hand quantity, cost, and a 90-day expiry rule) and `product_batch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(units and costs only), with all consumption going through `product_batch_consumption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`staging_consumption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and `sp_record_product_batch</w:t>
      </w:r>
      <w:r>
        <w:rPr>
          <w:rFonts w:ascii="Verdana" w:hAnsi="Verdana"/>
          <w:sz w:val="21"/>
          <w:szCs w:val="21"/>
        </w:rPr>
        <w:t>’.</w:t>
      </w:r>
      <w:r w:rsidRPr="00E40792">
        <w:rPr>
          <w:rFonts w:ascii="Verdana" w:hAnsi="Verdana"/>
          <w:sz w:val="21"/>
          <w:szCs w:val="21"/>
        </w:rPr>
        <w:t xml:space="preserve"> Overall, both designs are normalized, but the current schema is more focused, less redundant, and relies on database-level triggers, views, and procedures to enforce the core business rules for the project</w:t>
      </w:r>
      <w:r>
        <w:rPr>
          <w:rFonts w:ascii="Verdana" w:hAnsi="Verdana"/>
          <w:sz w:val="21"/>
          <w:szCs w:val="21"/>
        </w:rPr>
        <w:t>.</w:t>
      </w:r>
    </w:p>
    <w:sectPr w:rsidR="00E40792" w:rsidRPr="00E40792" w:rsidSect="00E407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92"/>
    <w:rsid w:val="0059683A"/>
    <w:rsid w:val="0066456D"/>
    <w:rsid w:val="00E4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1651"/>
  <w15:chartTrackingRefBased/>
  <w15:docId w15:val="{3F795933-5A4D-544E-A6C0-312280CA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Shukla</dc:creator>
  <cp:keywords/>
  <dc:description/>
  <cp:lastModifiedBy>Rahil Shukla</cp:lastModifiedBy>
  <cp:revision>2</cp:revision>
  <dcterms:created xsi:type="dcterms:W3CDTF">2025-11-16T23:21:00Z</dcterms:created>
  <dcterms:modified xsi:type="dcterms:W3CDTF">2025-11-16T23:21:00Z</dcterms:modified>
</cp:coreProperties>
</file>