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Normalization Summary of All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Normal Form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manufacturer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Simple entity; all attributes depend only on the PK.</w:t>
            </w:r>
          </w:p>
        </w:tc>
      </w:tr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Entity with alternate key; all dependencies from superkeys.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 plus unique name; no transitive dependencies.</w:t>
            </w:r>
          </w:p>
        </w:tc>
      </w:tr>
      <w:tr>
        <w:tc>
          <w:tcPr>
            <w:tcW w:type="dxa" w:w="2880"/>
          </w:tcPr>
          <w:p>
            <w:r>
              <w:t>user_account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 with unique username; role depends on key.</w:t>
            </w:r>
          </w:p>
        </w:tc>
      </w:tr>
      <w:tr>
        <w:tc>
          <w:tcPr>
            <w:tcW w:type="dxa" w:w="2880"/>
          </w:tcPr>
          <w:p>
            <w:r>
              <w:t>ingredient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name unique; all attributes depend on ingredient_id.</w:t>
            </w:r>
          </w:p>
        </w:tc>
      </w:tr>
      <w:tr>
        <w:tc>
          <w:tcPr>
            <w:tcW w:type="dxa" w:w="2880"/>
          </w:tcPr>
          <w:p>
            <w:r>
              <w:t>ingredient_material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Intersection table; composite PK; qty depends on whole key.</w:t>
            </w:r>
          </w:p>
        </w:tc>
      </w:tr>
      <w:tr>
        <w:tc>
          <w:tcPr>
            <w:tcW w:type="dxa" w:w="2880"/>
          </w:tcPr>
          <w:p>
            <w:r>
              <w:t>supplier_ingredient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Intersection; composite key defines full dependency.</w:t>
            </w:r>
          </w:p>
        </w:tc>
      </w:tr>
      <w:tr>
        <w:tc>
          <w:tcPr>
            <w:tcW w:type="dxa" w:w="2880"/>
          </w:tcPr>
          <w:p>
            <w:r>
              <w:t>supplier_formulation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 + logical natural key; all non-key attributes depend on formulation.</w:t>
            </w:r>
          </w:p>
        </w:tc>
      </w:tr>
      <w:tr>
        <w:tc>
          <w:tcPr>
            <w:tcW w:type="dxa" w:w="2880"/>
          </w:tcPr>
          <w:p>
            <w:r>
              <w:t>supplier_formulation_material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Composite PK; qty depends only on entire key.</w:t>
            </w:r>
          </w:p>
        </w:tc>
      </w:tr>
      <w:tr>
        <w:tc>
          <w:tcPr>
            <w:tcW w:type="dxa" w:w="2880"/>
          </w:tcPr>
          <w:p>
            <w:r>
              <w:t>do_not_combine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Composite key-only table; no non-key attributes.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 + alternate natural key; all fields depend on product type.</w:t>
            </w:r>
          </w:p>
        </w:tc>
      </w:tr>
      <w:tr>
        <w:tc>
          <w:tcPr>
            <w:tcW w:type="dxa" w:w="2880"/>
          </w:tcPr>
          <w:p>
            <w:r>
              <w:t>recipe_plan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version_number forms logical alternate key.</w:t>
            </w:r>
          </w:p>
        </w:tc>
      </w:tr>
      <w:tr>
        <w:tc>
          <w:tcPr>
            <w:tcW w:type="dxa" w:w="2880"/>
          </w:tcPr>
          <w:p>
            <w:r>
              <w:t>recipe_plan_item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(recipe_plan_id, step_number) logical candidate key.</w:t>
            </w:r>
          </w:p>
        </w:tc>
      </w:tr>
      <w:tr>
        <w:tc>
          <w:tcPr>
            <w:tcW w:type="dxa" w:w="2880"/>
          </w:tcPr>
          <w:p>
            <w:r>
              <w:t>ingredient_batch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lot_number alternate key; no transitive dependencies.</w:t>
            </w:r>
          </w:p>
        </w:tc>
      </w:tr>
      <w:tr>
        <w:tc>
          <w:tcPr>
            <w:tcW w:type="dxa" w:w="2880"/>
          </w:tcPr>
          <w:p>
            <w:r>
              <w:t>staging_consumption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Now normalized with surrogate PK staging_id.</w:t>
            </w:r>
          </w:p>
        </w:tc>
      </w:tr>
      <w:tr>
        <w:tc>
          <w:tcPr>
            <w:tcW w:type="dxa" w:w="2880"/>
          </w:tcPr>
          <w:p>
            <w:r>
              <w:t>product_batch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product_lot_number alternate key; attributes depend on batch.</w:t>
            </w:r>
          </w:p>
        </w:tc>
      </w:tr>
      <w:tr>
        <w:tc>
          <w:tcPr>
            <w:tcW w:type="dxa" w:w="2880"/>
          </w:tcPr>
          <w:p>
            <w:r>
              <w:t>product_batch_consumption</w:t>
            </w:r>
          </w:p>
        </w:tc>
        <w:tc>
          <w:tcPr>
            <w:tcW w:type="dxa" w:w="2880"/>
          </w:tcPr>
          <w:p>
            <w:r>
              <w:t>BCNF</w:t>
            </w:r>
          </w:p>
        </w:tc>
        <w:tc>
          <w:tcPr>
            <w:tcW w:type="dxa" w:w="2880"/>
          </w:tcPr>
          <w:p>
            <w:r>
              <w:t>PK; qty depends only on row key.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