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pPr>
      <w:r>
        <w:rPr>
          <w:rFonts w:ascii="Arial" w:cs="Arial" w:eastAsia="Arial" w:hAnsi="Arial"/>
          <w:b/>
          <w:bCs/>
          <w:color w:val="3D2B6B"/>
          <w:sz w:val="40"/>
          <w:szCs w:val="40"/>
        </w:rPr>
        <w:t xml:space="preserve">Production Deployment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b/>
                <w:bCs/>
                <w:sz w:val="18"/>
                <w:szCs w:val="18"/>
              </w:rPr>
              <w:t xml:space="preserve">Document ID</w:t>
            </w:r>
          </w:p>
        </w:tc>
        <w:tc>
          <w:tcPr>
            <w:tcW w:type="dxa" w:w="468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ENG-001</w:t>
            </w:r>
          </w:p>
        </w:tc>
        <w:tc>
          <w:tcPr>
            <w:tcW w:type="dxa" w:w="234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sz w:val="18"/>
                <w:szCs w:val="18"/>
              </w:rPr>
              <w:t xml:space="preserve">Version: 1.0</w:t>
            </w:r>
          </w:p>
        </w:tc>
      </w:tr>
      <w:tr>
        <w:tc>
          <w:tcPr>
            <w:tcW w:type="dxa" w:w="234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b/>
                <w:bCs/>
                <w:sz w:val="18"/>
                <w:szCs w:val="18"/>
              </w:rPr>
              <w:t xml:space="preserve">Department</w:t>
            </w:r>
          </w:p>
        </w:tc>
        <w:tc>
          <w:tcPr>
            <w:tcW w:type="dxa" w:w="468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Engineering</w:t>
            </w:r>
          </w:p>
        </w:tc>
        <w:tc>
          <w:tcPr>
            <w:tcW w:type="dxa" w:w="234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sz w:val="18"/>
                <w:szCs w:val="18"/>
              </w:rPr>
              <w:t xml:space="preserve">June 2026</w:t>
            </w:r>
          </w:p>
        </w:tc>
      </w:tr>
    </w:tbl>
    <w:p>
      <w:pPr>
        <w:spacing w:before="240"/>
      </w:pPr>
      <w:r>
        <w:t xml:space="preserve"/>
      </w:r>
    </w:p>
    <w:p>
      <w:pPr>
        <w:pStyle w:val="Heading1"/>
        <w:pBdr>
          <w:bottom w:val="single" w:color="7030A0" w:sz="6" w:space="1"/>
        </w:pBdr>
        <w:spacing w:after="120" w:before="300"/>
      </w:pPr>
      <w:r>
        <w:rPr>
          <w:rFonts w:ascii="Arial" w:cs="Arial" w:eastAsia="Arial" w:hAnsi="Arial"/>
          <w:b/>
          <w:bCs/>
          <w:color w:val="3D2B6B"/>
          <w:sz w:val="28"/>
          <w:szCs w:val="28"/>
        </w:rPr>
        <w:t xml:space="preserve">1. Purpose</w:t>
      </w:r>
    </w:p>
    <w:p>
      <w:pPr>
        <w:spacing w:after="80" w:before="80"/>
      </w:pPr>
      <w:r>
        <w:rPr>
          <w:rFonts w:ascii="Arial" w:cs="Arial" w:eastAsia="Arial" w:hAnsi="Arial"/>
          <w:sz w:val="20"/>
          <w:szCs w:val="20"/>
        </w:rPr>
        <w:t xml:space="preserve">This SOP defines the mandatory process for deploying software changes to the production environment. It ensures all deployments are planned, reviewed, tested, and reversible, minimising risk to system availability and data integrity.</w:t>
      </w:r>
    </w:p>
    <w:p>
      <w:pPr>
        <w:pStyle w:val="Heading1"/>
        <w:pBdr>
          <w:bottom w:val="single" w:color="7030A0" w:sz="6" w:space="1"/>
        </w:pBdr>
        <w:spacing w:after="120" w:before="300"/>
      </w:pPr>
      <w:r>
        <w:rPr>
          <w:rFonts w:ascii="Arial" w:cs="Arial" w:eastAsia="Arial" w:hAnsi="Arial"/>
          <w:b/>
          <w:bCs/>
          <w:color w:val="3D2B6B"/>
          <w:sz w:val="28"/>
          <w:szCs w:val="28"/>
        </w:rPr>
        <w:t xml:space="preserve">2. Deployment Prerequisites</w:t>
      </w:r>
    </w:p>
    <w:p>
      <w:pPr>
        <w:pStyle w:val="ListParagraph"/>
        <w:numPr>
          <w:ilvl w:val="0"/>
          <w:numId w:val="2"/>
        </w:numPr>
        <w:spacing w:after="60" w:before="60"/>
      </w:pPr>
      <w:r>
        <w:rPr>
          <w:rFonts w:ascii="Arial" w:cs="Arial" w:eastAsia="Arial" w:hAnsi="Arial"/>
          <w:sz w:val="20"/>
          <w:szCs w:val="20"/>
        </w:rPr>
        <w:t xml:space="preserve">All code merged to main branch via approved pull request (minimum 2 reviewers)</w:t>
      </w:r>
    </w:p>
    <w:p>
      <w:pPr>
        <w:pStyle w:val="ListParagraph"/>
        <w:numPr>
          <w:ilvl w:val="0"/>
          <w:numId w:val="2"/>
        </w:numPr>
        <w:spacing w:after="60" w:before="60"/>
      </w:pPr>
      <w:r>
        <w:rPr>
          <w:rFonts w:ascii="Arial" w:cs="Arial" w:eastAsia="Arial" w:hAnsi="Arial"/>
          <w:sz w:val="20"/>
          <w:szCs w:val="20"/>
        </w:rPr>
        <w:t xml:space="preserve">All automated tests passing in CI pipeline (unit, integration, smoke)</w:t>
      </w:r>
    </w:p>
    <w:p>
      <w:pPr>
        <w:pStyle w:val="ListParagraph"/>
        <w:numPr>
          <w:ilvl w:val="0"/>
          <w:numId w:val="2"/>
        </w:numPr>
        <w:spacing w:after="60" w:before="60"/>
      </w:pPr>
      <w:r>
        <w:rPr>
          <w:rFonts w:ascii="Arial" w:cs="Arial" w:eastAsia="Arial" w:hAnsi="Arial"/>
          <w:sz w:val="20"/>
          <w:szCs w:val="20"/>
        </w:rPr>
        <w:t xml:space="preserve">QA sign-off on staging environment for any user-facing changes</w:t>
      </w:r>
    </w:p>
    <w:p>
      <w:pPr>
        <w:pStyle w:val="ListParagraph"/>
        <w:numPr>
          <w:ilvl w:val="0"/>
          <w:numId w:val="2"/>
        </w:numPr>
        <w:spacing w:after="60" w:before="60"/>
      </w:pPr>
      <w:r>
        <w:rPr>
          <w:rFonts w:ascii="Arial" w:cs="Arial" w:eastAsia="Arial" w:hAnsi="Arial"/>
          <w:sz w:val="20"/>
          <w:szCs w:val="20"/>
        </w:rPr>
        <w:t xml:space="preserve">Change request ticket raised and approved in ticketing system</w:t>
      </w:r>
    </w:p>
    <w:p>
      <w:pPr>
        <w:pStyle w:val="ListParagraph"/>
        <w:numPr>
          <w:ilvl w:val="0"/>
          <w:numId w:val="2"/>
        </w:numPr>
        <w:spacing w:after="60" w:before="60"/>
      </w:pPr>
      <w:r>
        <w:rPr>
          <w:rFonts w:ascii="Arial" w:cs="Arial" w:eastAsia="Arial" w:hAnsi="Arial"/>
          <w:sz w:val="20"/>
          <w:szCs w:val="20"/>
        </w:rPr>
        <w:t xml:space="preserve">Rollback plan documented in the change ticket</w:t>
      </w:r>
    </w:p>
    <w:p>
      <w:pPr>
        <w:pStyle w:val="ListParagraph"/>
        <w:numPr>
          <w:ilvl w:val="0"/>
          <w:numId w:val="2"/>
        </w:numPr>
        <w:spacing w:after="60" w:before="60"/>
      </w:pPr>
      <w:r>
        <w:rPr>
          <w:rFonts w:ascii="Arial" w:cs="Arial" w:eastAsia="Arial" w:hAnsi="Arial"/>
          <w:sz w:val="20"/>
          <w:szCs w:val="20"/>
        </w:rPr>
        <w:t xml:space="preserve">Deployment window confirmed: standard window is Tue/Thu 14:00–16:00 UTC</w:t>
      </w:r>
    </w:p>
    <w:p>
      <w:pPr>
        <w:pStyle w:val="Heading1"/>
        <w:pBdr>
          <w:bottom w:val="single" w:color="7030A0" w:sz="6" w:space="1"/>
        </w:pBdr>
        <w:spacing w:after="120" w:before="300"/>
      </w:pPr>
      <w:r>
        <w:rPr>
          <w:rFonts w:ascii="Arial" w:cs="Arial" w:eastAsia="Arial" w:hAnsi="Arial"/>
          <w:b/>
          <w:bCs/>
          <w:color w:val="3D2B6B"/>
          <w:sz w:val="28"/>
          <w:szCs w:val="28"/>
        </w:rPr>
        <w:t xml:space="preserve">3. Deployment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030A0" w:sz="1"/>
              <w:left w:val="single" w:color="7030A0" w:sz="1"/>
              <w:bottom w:val="single" w:color="7030A0" w:sz="1"/>
              <w:right w:val="single" w:color="7030A0" w:sz="1"/>
            </w:tcBorders>
            <w:shd w:fill="3D2B6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120"/>
            <w:tcBorders>
              <w:top w:val="single" w:color="7030A0" w:sz="1"/>
              <w:left w:val="single" w:color="7030A0" w:sz="1"/>
              <w:bottom w:val="single" w:color="7030A0" w:sz="1"/>
              <w:right w:val="single" w:color="7030A0" w:sz="1"/>
            </w:tcBorders>
            <w:shd w:fill="3D2B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120"/>
            <w:tcBorders>
              <w:top w:val="single" w:color="7030A0" w:sz="1"/>
              <w:left w:val="single" w:color="7030A0" w:sz="1"/>
              <w:bottom w:val="single" w:color="7030A0" w:sz="1"/>
              <w:right w:val="single" w:color="7030A0" w:sz="1"/>
            </w:tcBorders>
            <w:shd w:fill="3D2B6B"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312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Announce deployment in #deployments Slack channel</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Release Engineer</w:t>
            </w:r>
          </w:p>
        </w:tc>
      </w:tr>
      <w:tr>
        <w:tc>
          <w:tcPr>
            <w:tcW w:type="dxa" w:w="312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Take DB snapshot and verify backup</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DevOps</w:t>
            </w:r>
          </w:p>
        </w:tc>
      </w:tr>
      <w:tr>
        <w:tc>
          <w:tcPr>
            <w:tcW w:type="dxa" w:w="312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Deploy to production via CI/CD pipeline</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Release Engineer</w:t>
            </w:r>
          </w:p>
        </w:tc>
      </w:tr>
      <w:tr>
        <w:tc>
          <w:tcPr>
            <w:tcW w:type="dxa" w:w="312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Run smoke tests post-deploy</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QA / Engineer</w:t>
            </w:r>
          </w:p>
        </w:tc>
      </w:tr>
      <w:tr>
        <w:tc>
          <w:tcPr>
            <w:tcW w:type="dxa" w:w="312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sz w:val="18"/>
                <w:szCs w:val="18"/>
              </w:rPr>
              <w:t xml:space="preserve">5</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Monitor error rates and latency for 30 min</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On-call Engineer</w:t>
            </w:r>
          </w:p>
        </w:tc>
      </w:tr>
      <w:tr>
        <w:tc>
          <w:tcPr>
            <w:tcW w:type="dxa" w:w="3120"/>
            <w:tcBorders>
              <w:top w:val="single" w:color="7030A0" w:sz="1"/>
              <w:left w:val="single" w:color="7030A0" w:sz="1"/>
              <w:bottom w:val="single" w:color="7030A0" w:sz="1"/>
              <w:right w:val="single" w:color="7030A0" w:sz="1"/>
            </w:tcBorders>
            <w:shd w:fill="E8E0F5"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Close change ticket and post confirmation</w:t>
            </w:r>
          </w:p>
        </w:tc>
        <w:tc>
          <w:tcPr>
            <w:tcW w:type="dxa" w:w="3120"/>
            <w:tcBorders>
              <w:top w:val="single" w:color="7030A0" w:sz="1"/>
              <w:left w:val="single" w:color="7030A0" w:sz="1"/>
              <w:bottom w:val="single" w:color="7030A0" w:sz="1"/>
              <w:right w:val="single" w:color="7030A0" w:sz="1"/>
            </w:tcBorders>
            <w:tcMar>
              <w:top w:type="dxa" w:w="80"/>
              <w:left w:type="dxa" w:w="120"/>
              <w:bottom w:type="dxa" w:w="80"/>
              <w:right w:type="dxa" w:w="120"/>
            </w:tcMar>
          </w:tcPr>
          <w:p>
            <w:r>
              <w:rPr>
                <w:rFonts w:ascii="Arial" w:cs="Arial" w:eastAsia="Arial" w:hAnsi="Arial"/>
                <w:sz w:val="18"/>
                <w:szCs w:val="18"/>
              </w:rPr>
              <w:t xml:space="preserve">Release Engineer</w:t>
            </w:r>
          </w:p>
        </w:tc>
      </w:tr>
    </w:tbl>
    <w:p>
      <w:pPr>
        <w:spacing w:before="120"/>
      </w:pPr>
      <w:r>
        <w:t xml:space="preserve"/>
      </w:r>
    </w:p>
    <w:p>
      <w:pPr>
        <w:pStyle w:val="Heading1"/>
        <w:pBdr>
          <w:bottom w:val="single" w:color="7030A0" w:sz="6" w:space="1"/>
        </w:pBdr>
        <w:spacing w:after="120" w:before="300"/>
      </w:pPr>
      <w:r>
        <w:rPr>
          <w:rFonts w:ascii="Arial" w:cs="Arial" w:eastAsia="Arial" w:hAnsi="Arial"/>
          <w:b/>
          <w:bCs/>
          <w:color w:val="3D2B6B"/>
          <w:sz w:val="28"/>
          <w:szCs w:val="28"/>
        </w:rPr>
        <w:t xml:space="preserve">4. Rollback Procedure</w:t>
      </w:r>
    </w:p>
    <w:p>
      <w:pPr>
        <w:pStyle w:val="ListParagraph"/>
        <w:numPr>
          <w:ilvl w:val="0"/>
          <w:numId w:val="2"/>
        </w:numPr>
        <w:spacing w:after="60" w:before="60"/>
      </w:pPr>
      <w:r>
        <w:rPr>
          <w:rFonts w:ascii="Arial" w:cs="Arial" w:eastAsia="Arial" w:hAnsi="Arial"/>
          <w:sz w:val="20"/>
          <w:szCs w:val="20"/>
        </w:rPr>
        <w:t xml:space="preserve">If error rate increases &gt;1% or P1 alert fires: initiate rollback immediately</w:t>
      </w:r>
    </w:p>
    <w:p>
      <w:pPr>
        <w:pStyle w:val="ListParagraph"/>
        <w:numPr>
          <w:ilvl w:val="0"/>
          <w:numId w:val="2"/>
        </w:numPr>
        <w:spacing w:after="60" w:before="60"/>
      </w:pPr>
      <w:r>
        <w:rPr>
          <w:rFonts w:ascii="Arial" w:cs="Arial" w:eastAsia="Arial" w:hAnsi="Arial"/>
          <w:sz w:val="20"/>
          <w:szCs w:val="20"/>
        </w:rPr>
        <w:t xml:space="preserve">Rollback trigger authority: on-call engineer, engineering manager, or CTO</w:t>
      </w:r>
    </w:p>
    <w:p>
      <w:pPr>
        <w:pStyle w:val="ListParagraph"/>
        <w:numPr>
          <w:ilvl w:val="0"/>
          <w:numId w:val="2"/>
        </w:numPr>
        <w:spacing w:after="60" w:before="60"/>
      </w:pPr>
      <w:r>
        <w:rPr>
          <w:rFonts w:ascii="Arial" w:cs="Arial" w:eastAsia="Arial" w:hAnsi="Arial"/>
          <w:sz w:val="20"/>
          <w:szCs w:val="20"/>
        </w:rPr>
        <w:t xml:space="preserve">Rollback via pipeline: re-run previous release tag through CI/CD</w:t>
      </w:r>
    </w:p>
    <w:p>
      <w:pPr>
        <w:pStyle w:val="ListParagraph"/>
        <w:numPr>
          <w:ilvl w:val="0"/>
          <w:numId w:val="2"/>
        </w:numPr>
        <w:spacing w:after="60" w:before="60"/>
      </w:pPr>
      <w:r>
        <w:rPr>
          <w:rFonts w:ascii="Arial" w:cs="Arial" w:eastAsia="Arial" w:hAnsi="Arial"/>
          <w:sz w:val="20"/>
          <w:szCs w:val="20"/>
        </w:rPr>
        <w:t xml:space="preserve">Notify #incidents and #deployments channels within 5 minutes of decision</w:t>
      </w:r>
    </w:p>
    <w:p>
      <w:pPr>
        <w:pStyle w:val="ListParagraph"/>
        <w:numPr>
          <w:ilvl w:val="0"/>
          <w:numId w:val="2"/>
        </w:numPr>
        <w:spacing w:after="60" w:before="60"/>
      </w:pPr>
      <w:r>
        <w:rPr>
          <w:rFonts w:ascii="Arial" w:cs="Arial" w:eastAsia="Arial" w:hAnsi="Arial"/>
          <w:sz w:val="20"/>
          <w:szCs w:val="20"/>
        </w:rPr>
        <w:t xml:space="preserve">Post-incident review required within 48 hours for any rollback event</w:t>
      </w:r>
    </w:p>
    <w:p>
      <w:pPr>
        <w:pStyle w:val="Heading1"/>
        <w:pBdr>
          <w:bottom w:val="single" w:color="7030A0" w:sz="6" w:space="1"/>
        </w:pBdr>
        <w:spacing w:after="120" w:before="300"/>
      </w:pPr>
      <w:r>
        <w:rPr>
          <w:rFonts w:ascii="Arial" w:cs="Arial" w:eastAsia="Arial" w:hAnsi="Arial"/>
          <w:b/>
          <w:bCs/>
          <w:color w:val="3D2B6B"/>
          <w:sz w:val="28"/>
          <w:szCs w:val="28"/>
        </w:rPr>
        <w:t xml:space="preserve">5. Prohibited Actions</w:t>
      </w:r>
    </w:p>
    <w:p>
      <w:pPr>
        <w:pStyle w:val="ListParagraph"/>
        <w:numPr>
          <w:ilvl w:val="0"/>
          <w:numId w:val="2"/>
        </w:numPr>
        <w:spacing w:after="60" w:before="60"/>
      </w:pPr>
      <w:r>
        <w:rPr>
          <w:rFonts w:ascii="Arial" w:cs="Arial" w:eastAsia="Arial" w:hAnsi="Arial"/>
          <w:sz w:val="20"/>
          <w:szCs w:val="20"/>
        </w:rPr>
        <w:t xml:space="preserve">No direct SSH access to production servers for code changes (hotfix process applies)</w:t>
      </w:r>
    </w:p>
    <w:p>
      <w:pPr>
        <w:pStyle w:val="ListParagraph"/>
        <w:numPr>
          <w:ilvl w:val="0"/>
          <w:numId w:val="2"/>
        </w:numPr>
        <w:spacing w:after="60" w:before="60"/>
      </w:pPr>
      <w:r>
        <w:rPr>
          <w:rFonts w:ascii="Arial" w:cs="Arial" w:eastAsia="Arial" w:hAnsi="Arial"/>
          <w:sz w:val="20"/>
          <w:szCs w:val="20"/>
        </w:rPr>
        <w:t xml:space="preserve">No deployments during Friday 17:00 UTC to Monday 08:00 UTC (weekend freeze)</w:t>
      </w:r>
    </w:p>
    <w:p>
      <w:pPr>
        <w:pStyle w:val="ListParagraph"/>
        <w:numPr>
          <w:ilvl w:val="0"/>
          <w:numId w:val="2"/>
        </w:numPr>
        <w:spacing w:after="60" w:before="60"/>
      </w:pPr>
      <w:r>
        <w:rPr>
          <w:rFonts w:ascii="Arial" w:cs="Arial" w:eastAsia="Arial" w:hAnsi="Arial"/>
          <w:sz w:val="20"/>
          <w:szCs w:val="20"/>
        </w:rPr>
        <w:t xml:space="preserve">No deployments during declared incident windows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030A0" w:sz="4" w:space="2"/>
      </w:pBdr>
      <w:jc w:val="right"/>
    </w:pPr>
    <w:r>
      <w:rPr>
        <w:rFonts w:ascii="Arial" w:cs="Arial" w:eastAsia="Arial" w:hAnsi="Arial"/>
        <w:color w:val="888888"/>
        <w:sz w:val="16"/>
        <w:szCs w:val="16"/>
      </w:rPr>
      <w:t xml:space="preserve">Engineering | ENG-001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3D2B6B" w:val="clear"/>
      <w:spacing w:after="80" w:before="80"/>
      <w:ind w:left="200" w:right="200"/>
    </w:pPr>
    <w:r>
      <w:rPr>
        <w:rFonts w:ascii="Arial" w:cs="Arial" w:eastAsia="Arial" w:hAnsi="Arial"/>
        <w:b/>
        <w:bCs/>
        <w:color w:val="FFFFFF"/>
        <w:sz w:val="20"/>
        <w:szCs w:val="20"/>
      </w:rPr>
      <w:t xml:space="preserve">ENG-001 — Production Deployment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2026-06-05T06:23:33.668Z</dcterms:created>
  <dcterms:modified xsi:type="dcterms:W3CDTF">2026-06-05T06:23:33.668Z</dcterms:modified>
</cp:coreProperties>
</file>

<file path=docProps/custom.xml><?xml version="1.0" encoding="utf-8"?>
<Properties xmlns="http://schemas.openxmlformats.org/officeDocument/2006/custom-properties" xmlns:vt="http://schemas.openxmlformats.org/officeDocument/2006/docPropsVTypes"/>
</file>