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375623"/>
          <w:sz w:val="40"/>
          <w:szCs w:val="40"/>
        </w:rPr>
        <w:t xml:space="preserve">Expense Reimbursement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b/>
                <w:bCs/>
                <w:sz w:val="18"/>
                <w:szCs w:val="18"/>
              </w:rPr>
              <w:t xml:space="preserve">Document ID</w:t>
            </w:r>
          </w:p>
        </w:tc>
        <w:tc>
          <w:tcPr>
            <w:tcW w:type="dxa" w:w="468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FIN-001</w:t>
            </w:r>
          </w:p>
        </w:tc>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Version: 1.0</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b/>
                <w:bCs/>
                <w:sz w:val="18"/>
                <w:szCs w:val="18"/>
              </w:rPr>
              <w:t xml:space="preserve">Department</w:t>
            </w:r>
          </w:p>
        </w:tc>
        <w:tc>
          <w:tcPr>
            <w:tcW w:type="dxa" w:w="468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Finance</w:t>
            </w:r>
          </w:p>
        </w:tc>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June 2026</w:t>
            </w:r>
          </w:p>
        </w:tc>
      </w:tr>
    </w:tbl>
    <w:p>
      <w:pPr>
        <w:spacing w:before="240"/>
      </w:pPr>
      <w:r>
        <w:t xml:space="preserve"/>
      </w:r>
    </w:p>
    <w:p>
      <w:pPr>
        <w:pStyle w:val="Heading1"/>
        <w:pBdr>
          <w:bottom w:val="single" w:color="548235" w:sz="6" w:space="1"/>
        </w:pBdr>
        <w:spacing w:after="120" w:before="300"/>
      </w:pPr>
      <w:r>
        <w:rPr>
          <w:rFonts w:ascii="Arial" w:cs="Arial" w:eastAsia="Arial" w:hAnsi="Arial"/>
          <w:b/>
          <w:bCs/>
          <w:color w:val="375623"/>
          <w:sz w:val="28"/>
          <w:szCs w:val="28"/>
        </w:rPr>
        <w:t xml:space="preserve">1. Purpose</w:t>
      </w:r>
    </w:p>
    <w:p>
      <w:pPr>
        <w:spacing w:after="80" w:before="80"/>
      </w:pPr>
      <w:r>
        <w:rPr>
          <w:rFonts w:ascii="Arial" w:cs="Arial" w:eastAsia="Arial" w:hAnsi="Arial"/>
          <w:sz w:val="20"/>
          <w:szCs w:val="20"/>
        </w:rPr>
        <w:t xml:space="preserve">This policy establishes the rules, limits, and procedures for reimbursing employees for legitimate business expenses incurred in the course of their duties. It ensures fair treatment, fiscal responsibility, and compliance with tax regulations.</w:t>
      </w:r>
    </w:p>
    <w:p>
      <w:pPr>
        <w:pStyle w:val="Heading1"/>
        <w:pBdr>
          <w:bottom w:val="single" w:color="548235" w:sz="6" w:space="1"/>
        </w:pBdr>
        <w:spacing w:after="120" w:before="300"/>
      </w:pPr>
      <w:r>
        <w:rPr>
          <w:rFonts w:ascii="Arial" w:cs="Arial" w:eastAsia="Arial" w:hAnsi="Arial"/>
          <w:b/>
          <w:bCs/>
          <w:color w:val="375623"/>
          <w:sz w:val="28"/>
          <w:szCs w:val="28"/>
        </w:rPr>
        <w:t xml:space="preserve">2. Eligible Expense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4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Per-Day Limit (INR)</w:t>
            </w:r>
          </w:p>
        </w:tc>
        <w:tc>
          <w:tcPr>
            <w:tcW w:type="dxa" w:w="234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Per-Day Limit (GBP)</w:t>
            </w:r>
          </w:p>
        </w:tc>
        <w:tc>
          <w:tcPr>
            <w:tcW w:type="dxa" w:w="234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Receipt Required</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Meals &amp; Entertainment</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INR 1,500</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GBP 40</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 (&gt;INR 500 / GBP 15)</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Local Travel (cab/auto)</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INR 800</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GBP 25</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Domestic Air Travel</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Actual (Economy)</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Actual (Economy)</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 + approval</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International Travel</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As per travel policy</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As per travel policy</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 + pre-approval</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Accommodation</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INR 6,000/night</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GBP 150/night</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34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INR 500/month</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GBP 20/month</w:t>
            </w:r>
          </w:p>
        </w:tc>
        <w:tc>
          <w:tcPr>
            <w:tcW w:type="dxa" w:w="234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Yes</w:t>
            </w:r>
          </w:p>
        </w:tc>
      </w:tr>
    </w:tbl>
    <w:p>
      <w:pPr>
        <w:spacing w:before="120"/>
      </w:pPr>
      <w:r>
        <w:t xml:space="preserve"/>
      </w:r>
    </w:p>
    <w:p>
      <w:pPr>
        <w:pStyle w:val="Heading1"/>
        <w:pBdr>
          <w:bottom w:val="single" w:color="548235" w:sz="6" w:space="1"/>
        </w:pBdr>
        <w:spacing w:after="120" w:before="300"/>
      </w:pPr>
      <w:r>
        <w:rPr>
          <w:rFonts w:ascii="Arial" w:cs="Arial" w:eastAsia="Arial" w:hAnsi="Arial"/>
          <w:b/>
          <w:bCs/>
          <w:color w:val="375623"/>
          <w:sz w:val="28"/>
          <w:szCs w:val="28"/>
        </w:rPr>
        <w:t xml:space="preserve">3. Submission Process</w:t>
      </w:r>
    </w:p>
    <w:p>
      <w:pPr>
        <w:pStyle w:val="ListParagraph"/>
        <w:numPr>
          <w:ilvl w:val="0"/>
          <w:numId w:val="2"/>
        </w:numPr>
        <w:spacing w:after="60" w:before="60"/>
      </w:pPr>
      <w:r>
        <w:rPr>
          <w:rFonts w:ascii="Arial" w:cs="Arial" w:eastAsia="Arial" w:hAnsi="Arial"/>
          <w:sz w:val="20"/>
          <w:szCs w:val="20"/>
        </w:rPr>
        <w:t xml:space="preserve">Submit expenses via the Expense Management System within 30 days of incurrence</w:t>
      </w:r>
    </w:p>
    <w:p>
      <w:pPr>
        <w:pStyle w:val="ListParagraph"/>
        <w:numPr>
          <w:ilvl w:val="0"/>
          <w:numId w:val="2"/>
        </w:numPr>
        <w:spacing w:after="60" w:before="60"/>
      </w:pPr>
      <w:r>
        <w:rPr>
          <w:rFonts w:ascii="Arial" w:cs="Arial" w:eastAsia="Arial" w:hAnsi="Arial"/>
          <w:sz w:val="20"/>
          <w:szCs w:val="20"/>
        </w:rPr>
        <w:t xml:space="preserve">Attach original receipts (digital acceptable if clearly legible)</w:t>
      </w:r>
    </w:p>
    <w:p>
      <w:pPr>
        <w:pStyle w:val="ListParagraph"/>
        <w:numPr>
          <w:ilvl w:val="0"/>
          <w:numId w:val="2"/>
        </w:numPr>
        <w:spacing w:after="60" w:before="60"/>
      </w:pPr>
      <w:r>
        <w:rPr>
          <w:rFonts w:ascii="Arial" w:cs="Arial" w:eastAsia="Arial" w:hAnsi="Arial"/>
          <w:sz w:val="20"/>
          <w:szCs w:val="20"/>
        </w:rPr>
        <w:t xml:space="preserve">Claims exceeding INR 10,000 / GBP 300 require line manager approval before submission</w:t>
      </w:r>
    </w:p>
    <w:p>
      <w:pPr>
        <w:pStyle w:val="ListParagraph"/>
        <w:numPr>
          <w:ilvl w:val="0"/>
          <w:numId w:val="2"/>
        </w:numPr>
        <w:spacing w:after="60" w:before="60"/>
      </w:pPr>
      <w:r>
        <w:rPr>
          <w:rFonts w:ascii="Arial" w:cs="Arial" w:eastAsia="Arial" w:hAnsi="Arial"/>
          <w:sz w:val="20"/>
          <w:szCs w:val="20"/>
        </w:rPr>
        <w:t xml:space="preserve">All foreign currency claims must include the exchange rate on the date of expense</w:t>
      </w:r>
    </w:p>
    <w:p>
      <w:pPr>
        <w:pStyle w:val="Heading1"/>
        <w:pBdr>
          <w:bottom w:val="single" w:color="548235" w:sz="6" w:space="1"/>
        </w:pBdr>
        <w:spacing w:after="120" w:before="300"/>
      </w:pPr>
      <w:r>
        <w:rPr>
          <w:rFonts w:ascii="Arial" w:cs="Arial" w:eastAsia="Arial" w:hAnsi="Arial"/>
          <w:b/>
          <w:bCs/>
          <w:color w:val="375623"/>
          <w:sz w:val="28"/>
          <w:szCs w:val="28"/>
        </w:rPr>
        <w:t xml:space="preserve">4.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Claim Amount</w:t>
            </w:r>
          </w:p>
        </w:tc>
        <w:tc>
          <w:tcPr>
            <w:tcW w:type="dxa" w:w="4680"/>
            <w:tcBorders>
              <w:top w:val="single" w:color="548235" w:sz="1"/>
              <w:left w:val="single" w:color="548235" w:sz="1"/>
              <w:bottom w:val="single" w:color="548235" w:sz="1"/>
              <w:right w:val="single" w:color="548235"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Approver</w:t>
            </w:r>
          </w:p>
        </w:tc>
      </w:tr>
      <w:tr>
        <w:tc>
          <w:tcPr>
            <w:tcW w:type="dxa" w:w="468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Up to INR 5,000 / GBP 150</w:t>
            </w:r>
          </w:p>
        </w:tc>
        <w:tc>
          <w:tcPr>
            <w:tcW w:type="dxa" w:w="468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Line Manager</w:t>
            </w:r>
          </w:p>
        </w:tc>
      </w:tr>
      <w:tr>
        <w:tc>
          <w:tcPr>
            <w:tcW w:type="dxa" w:w="468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INR 5,001–25,000 / GBP 151–750</w:t>
            </w:r>
          </w:p>
        </w:tc>
        <w:tc>
          <w:tcPr>
            <w:tcW w:type="dxa" w:w="468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Department Head</w:t>
            </w:r>
          </w:p>
        </w:tc>
      </w:tr>
      <w:tr>
        <w:tc>
          <w:tcPr>
            <w:tcW w:type="dxa" w:w="4680"/>
            <w:tcBorders>
              <w:top w:val="single" w:color="548235" w:sz="1"/>
              <w:left w:val="single" w:color="548235" w:sz="1"/>
              <w:bottom w:val="single" w:color="548235" w:sz="1"/>
              <w:right w:val="single" w:color="548235" w:sz="1"/>
            </w:tcBorders>
            <w:shd w:fill="D9EAD3" w:val="clear"/>
            <w:tcMar>
              <w:top w:type="dxa" w:w="80"/>
              <w:left w:type="dxa" w:w="120"/>
              <w:bottom w:type="dxa" w:w="80"/>
              <w:right w:type="dxa" w:w="120"/>
            </w:tcMar>
          </w:tcPr>
          <w:p>
            <w:r>
              <w:rPr>
                <w:rFonts w:ascii="Arial" w:cs="Arial" w:eastAsia="Arial" w:hAnsi="Arial"/>
                <w:sz w:val="18"/>
                <w:szCs w:val="18"/>
              </w:rPr>
              <w:t xml:space="preserve">Above INR 25,000 / GBP 750</w:t>
            </w:r>
          </w:p>
        </w:tc>
        <w:tc>
          <w:tcPr>
            <w:tcW w:type="dxa" w:w="4680"/>
            <w:tcBorders>
              <w:top w:val="single" w:color="548235" w:sz="1"/>
              <w:left w:val="single" w:color="548235" w:sz="1"/>
              <w:bottom w:val="single" w:color="548235" w:sz="1"/>
              <w:right w:val="single" w:color="548235" w:sz="1"/>
            </w:tcBorders>
            <w:tcMar>
              <w:top w:type="dxa" w:w="80"/>
              <w:left w:type="dxa" w:w="120"/>
              <w:bottom w:type="dxa" w:w="80"/>
              <w:right w:type="dxa" w:w="120"/>
            </w:tcMar>
          </w:tcPr>
          <w:p>
            <w:r>
              <w:rPr>
                <w:rFonts w:ascii="Arial" w:cs="Arial" w:eastAsia="Arial" w:hAnsi="Arial"/>
                <w:sz w:val="18"/>
                <w:szCs w:val="18"/>
              </w:rPr>
              <w:t xml:space="preserve">Finance Director</w:t>
            </w:r>
          </w:p>
        </w:tc>
      </w:tr>
    </w:tbl>
    <w:p>
      <w:pPr>
        <w:spacing w:before="120"/>
      </w:pPr>
      <w:r>
        <w:t xml:space="preserve"/>
      </w:r>
    </w:p>
    <w:p>
      <w:pPr>
        <w:pStyle w:val="Heading1"/>
        <w:pBdr>
          <w:bottom w:val="single" w:color="548235" w:sz="6" w:space="1"/>
        </w:pBdr>
        <w:spacing w:after="120" w:before="300"/>
      </w:pPr>
      <w:r>
        <w:rPr>
          <w:rFonts w:ascii="Arial" w:cs="Arial" w:eastAsia="Arial" w:hAnsi="Arial"/>
          <w:b/>
          <w:bCs/>
          <w:color w:val="375623"/>
          <w:sz w:val="28"/>
          <w:szCs w:val="28"/>
        </w:rPr>
        <w:t xml:space="preserve">5. Reimbursement Timeline</w:t>
      </w:r>
    </w:p>
    <w:p>
      <w:pPr>
        <w:pStyle w:val="ListParagraph"/>
        <w:numPr>
          <w:ilvl w:val="0"/>
          <w:numId w:val="2"/>
        </w:numPr>
        <w:spacing w:after="60" w:before="60"/>
      </w:pPr>
      <w:r>
        <w:rPr>
          <w:rFonts w:ascii="Arial" w:cs="Arial" w:eastAsia="Arial" w:hAnsi="Arial"/>
          <w:sz w:val="20"/>
          <w:szCs w:val="20"/>
        </w:rPr>
        <w:t xml:space="preserve">Approved claims are processed in the next payroll cycle</w:t>
      </w:r>
    </w:p>
    <w:p>
      <w:pPr>
        <w:pStyle w:val="ListParagraph"/>
        <w:numPr>
          <w:ilvl w:val="0"/>
          <w:numId w:val="2"/>
        </w:numPr>
        <w:spacing w:after="60" w:before="60"/>
      </w:pPr>
      <w:r>
        <w:rPr>
          <w:rFonts w:ascii="Arial" w:cs="Arial" w:eastAsia="Arial" w:hAnsi="Arial"/>
          <w:sz w:val="20"/>
          <w:szCs w:val="20"/>
        </w:rPr>
        <w:t xml:space="preserve">Emergency advances may be requested via Finance for urgent travel</w:t>
      </w:r>
    </w:p>
    <w:p>
      <w:pPr>
        <w:pStyle w:val="ListParagraph"/>
        <w:numPr>
          <w:ilvl w:val="0"/>
          <w:numId w:val="2"/>
        </w:numPr>
        <w:spacing w:after="60" w:before="60"/>
      </w:pPr>
      <w:r>
        <w:rPr>
          <w:rFonts w:ascii="Arial" w:cs="Arial" w:eastAsia="Arial" w:hAnsi="Arial"/>
          <w:sz w:val="20"/>
          <w:szCs w:val="20"/>
        </w:rPr>
        <w:t xml:space="preserve">Rejected claims will be notified within 5 working days with reasons</w:t>
      </w:r>
    </w:p>
    <w:p>
      <w:pPr>
        <w:pStyle w:val="Heading1"/>
        <w:pBdr>
          <w:bottom w:val="single" w:color="548235" w:sz="6" w:space="1"/>
        </w:pBdr>
        <w:spacing w:after="120" w:before="300"/>
      </w:pPr>
      <w:r>
        <w:rPr>
          <w:rFonts w:ascii="Arial" w:cs="Arial" w:eastAsia="Arial" w:hAnsi="Arial"/>
          <w:b/>
          <w:bCs/>
          <w:color w:val="375623"/>
          <w:sz w:val="28"/>
          <w:szCs w:val="28"/>
        </w:rPr>
        <w:t xml:space="preserve">6. Non-Reimbursable Items</w:t>
      </w:r>
    </w:p>
    <w:p>
      <w:pPr>
        <w:pStyle w:val="ListParagraph"/>
        <w:numPr>
          <w:ilvl w:val="0"/>
          <w:numId w:val="2"/>
        </w:numPr>
        <w:spacing w:after="60" w:before="60"/>
      </w:pPr>
      <w:r>
        <w:rPr>
          <w:rFonts w:ascii="Arial" w:cs="Arial" w:eastAsia="Arial" w:hAnsi="Arial"/>
          <w:sz w:val="20"/>
          <w:szCs w:val="20"/>
        </w:rPr>
        <w:t xml:space="preserve">Personal purchases, alcohol beyond a hospitality context, fines or penalties</w:t>
      </w:r>
    </w:p>
    <w:p>
      <w:pPr>
        <w:pStyle w:val="ListParagraph"/>
        <w:numPr>
          <w:ilvl w:val="0"/>
          <w:numId w:val="2"/>
        </w:numPr>
        <w:spacing w:after="60" w:before="60"/>
      </w:pPr>
      <w:r>
        <w:rPr>
          <w:rFonts w:ascii="Arial" w:cs="Arial" w:eastAsia="Arial" w:hAnsi="Arial"/>
          <w:sz w:val="20"/>
          <w:szCs w:val="20"/>
        </w:rPr>
        <w:t xml:space="preserve">Expenses not supported by valid receipts</w:t>
      </w:r>
    </w:p>
    <w:p>
      <w:pPr>
        <w:pStyle w:val="ListParagraph"/>
        <w:numPr>
          <w:ilvl w:val="0"/>
          <w:numId w:val="2"/>
        </w:numPr>
        <w:spacing w:after="60" w:before="60"/>
      </w:pPr>
      <w:r>
        <w:rPr>
          <w:rFonts w:ascii="Arial" w:cs="Arial" w:eastAsia="Arial" w:hAnsi="Arial"/>
          <w:sz w:val="20"/>
          <w:szCs w:val="20"/>
        </w:rPr>
        <w:t xml:space="preserve">Expenses incurred without prior approval where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48235" w:sz="4" w:space="2"/>
      </w:pBdr>
      <w:jc w:val="right"/>
    </w:pPr>
    <w:r>
      <w:rPr>
        <w:rFonts w:ascii="Arial" w:cs="Arial" w:eastAsia="Arial" w:hAnsi="Arial"/>
        <w:color w:val="888888"/>
        <w:sz w:val="16"/>
        <w:szCs w:val="16"/>
      </w:rPr>
      <w:t xml:space="preserve">Finance | FIN-001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375623" w:val="clear"/>
      <w:spacing w:after="80" w:before="80"/>
      <w:ind w:left="200" w:right="200"/>
    </w:pPr>
    <w:r>
      <w:rPr>
        <w:rFonts w:ascii="Arial" w:cs="Arial" w:eastAsia="Arial" w:hAnsi="Arial"/>
        <w:b/>
        <w:bCs/>
        <w:color w:val="FFFFFF"/>
        <w:sz w:val="20"/>
        <w:szCs w:val="20"/>
      </w:rPr>
      <w:t xml:space="preserve">FIN-001 — Expense Reimbursement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2026-06-05T06:23:33.577Z</dcterms:created>
  <dcterms:modified xsi:type="dcterms:W3CDTF">2026-06-05T06:23:33.577Z</dcterms:modified>
</cp:coreProperties>
</file>

<file path=docProps/custom.xml><?xml version="1.0" encoding="utf-8"?>
<Properties xmlns="http://schemas.openxmlformats.org/officeDocument/2006/custom-properties" xmlns:vt="http://schemas.openxmlformats.org/officeDocument/2006/docPropsVTypes"/>
</file>