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375623"/>
          <w:sz w:val="40"/>
          <w:szCs w:val="40"/>
        </w:rPr>
        <w:t xml:space="preserve">Quarterly Budget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FIN-003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template defines the structure and process for preparing and presenting the Quarterly Budget Report to senior leadership. It covers actuals vs. budget variance, department-level commentary, and forward-looking projections.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 Report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Summary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highlights, variances, risks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page narrative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P&amp;L vs Budget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Revenue, COGS, OpEx comparison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+ chart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Spend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centre breakdown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Headcount &amp; HR Costs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FTE count, salary, benefits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Flow Summary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Operating, investing, financing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Q+1 Forecast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quarter projection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+ commentary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3. Variance Thresholds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Green: variance within +/- 5% of budget — no action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Amber: variance of 5%–15% — department head commentary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Red: variance exceeding 15% — CFO review and corrective action plan required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4. Preparation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monthly books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5th of month following quarter end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cost submissions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7th of month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Dept. Heads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consolidation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10th of month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FP&amp;A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 review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12th of month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</w:t>
            </w:r>
          </w:p>
        </w:tc>
      </w:tr>
      <w:tr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presentation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15th of month</w:t>
            </w:r>
          </w:p>
        </w:tc>
        <w:tc>
          <w:tcPr>
            <w:tcW w:type="dxa" w:w="312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 / CEO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5.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Board of Directors: full report (PDF) via secure board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Department Heads: department-specific sections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All-staff summary: high-level narrative (internal intranet)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48235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Finance | FIN-003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375623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FIN-003 — Quarterly Budget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2026-06-05T06:23:33.642Z</dcterms:created>
  <dcterms:modified xsi:type="dcterms:W3CDTF">2026-06-05T06:23:33.642Z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