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360"/>
      </w:pPr>
      <w:r>
        <w:rPr>
          <w:rFonts w:ascii="Arial" w:cs="Arial" w:eastAsia="Arial" w:hAnsi="Arial"/>
          <w:b/>
          <w:bCs/>
          <w:color w:val="1C3C5A"/>
          <w:sz w:val="40"/>
          <w:szCs w:val="40"/>
        </w:rPr>
        <w:t xml:space="preserve">Client Onboarding Process v2.0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4680"/>
        <w:gridCol w:w="2340"/>
      </w:tblGrid>
      <w:tr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Document ID</w:t>
            </w:r>
          </w:p>
        </w:tc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OPS-006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Version: 2.0</w:t>
            </w:r>
          </w:p>
        </w:tc>
      </w:tr>
      <w:tr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Department</w:t>
            </w:r>
          </w:p>
        </w:tc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Operations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June 2026</w:t>
            </w:r>
          </w:p>
        </w:tc>
      </w:tr>
    </w:tbl>
    <w:p>
      <w:pPr>
        <w:spacing w:before="24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20" w:before="300"/>
      </w:pPr>
      <w:r>
        <w:rPr>
          <w:rFonts w:ascii="Arial" w:cs="Arial" w:eastAsia="Arial" w:hAnsi="Arial"/>
          <w:b/>
          <w:bCs/>
          <w:color w:val="1C3C5A"/>
          <w:sz w:val="28"/>
          <w:szCs w:val="28"/>
        </w:rPr>
        <w:t xml:space="preserve">1. Purpose &amp; Version Notes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Version 2.0 introduces a redesigned 6-phase onboarding journey, AI-assisted implementation checklist, and a revised health scoring model. Average time-to-value target reduced from 6 weeks to 4 weeks. Supersedes OPS-001 v1.0.</w:t>
      </w:r>
    </w:p>
    <w:p>
      <w:pPr>
        <w:pStyle w:val="Heading1"/>
        <w:pBdr>
          <w:bottom w:val="single" w:color="2E75B6" w:sz="6" w:space="1"/>
        </w:pBdr>
        <w:spacing w:after="120" w:before="300"/>
      </w:pPr>
      <w:r>
        <w:rPr>
          <w:rFonts w:ascii="Arial" w:cs="Arial" w:eastAsia="Arial" w:hAnsi="Arial"/>
          <w:b/>
          <w:bCs/>
          <w:color w:val="1C3C5A"/>
          <w:sz w:val="28"/>
          <w:szCs w:val="28"/>
        </w:rPr>
        <w:t xml:space="preserve">2. Updated Onboarding Phases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C3C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C3C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Activities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C3C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 Duration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C3C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</w:tr>
      <w:tr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 Alignment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Kickoff, success criteria, exec sponsor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Day 1–2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Account Manager</w:t>
            </w:r>
          </w:p>
        </w:tc>
      </w:tr>
      <w:tr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2. Discovery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Requirements, integrations, data audit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Week 1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Solutions Engineer</w:t>
            </w:r>
          </w:p>
        </w:tc>
      </w:tr>
      <w:tr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3. Build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Config, integrations, data migration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Week 1–2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Implementation</w:t>
            </w:r>
          </w:p>
        </w:tc>
      </w:tr>
      <w:tr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4. Validate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UAT, edge-case testing, sign-off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Week 3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CSM + Client</w:t>
            </w:r>
          </w:p>
        </w:tc>
      </w:tr>
      <w:tr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5. Launch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Go-live, 2-week hypercare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Week 4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Account Manager</w:t>
            </w:r>
          </w:p>
        </w:tc>
      </w:tr>
      <w:tr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6. Optimise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QBRs, expansion, health scoring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Ongoing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CSM</w:t>
            </w:r>
          </w:p>
        </w:tc>
      </w:tr>
    </w:tbl>
    <w:p>
      <w:pPr>
        <w:spacing w:before="12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20" w:before="300"/>
      </w:pPr>
      <w:r>
        <w:rPr>
          <w:rFonts w:ascii="Arial" w:cs="Arial" w:eastAsia="Arial" w:hAnsi="Arial"/>
          <w:b/>
          <w:bCs/>
          <w:color w:val="1C3C5A"/>
          <w:sz w:val="28"/>
          <w:szCs w:val="28"/>
        </w:rPr>
        <w:t xml:space="preserve">3. AI Implementation Checklist (New)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AI auto-generates client-specific checklist from Discovery call transcript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Each item assigned to Client or Internal with due date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Weekly progress report auto-emailed to client stakeholders every Monday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Blocked items flagged to Account Manager + CSM within 24 hours of becoming overdue</w:t>
      </w:r>
    </w:p>
    <w:p>
      <w:pPr>
        <w:pStyle w:val="Heading1"/>
        <w:pBdr>
          <w:bottom w:val="single" w:color="2E75B6" w:sz="6" w:space="1"/>
        </w:pBdr>
        <w:spacing w:after="120" w:before="300"/>
      </w:pPr>
      <w:r>
        <w:rPr>
          <w:rFonts w:ascii="Arial" w:cs="Arial" w:eastAsia="Arial" w:hAnsi="Arial"/>
          <w:b/>
          <w:bCs/>
          <w:color w:val="1C3C5A"/>
          <w:sz w:val="28"/>
          <w:szCs w:val="28"/>
        </w:rPr>
        <w:t xml:space="preserve">4. Revised Health Scoring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C3C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Dimension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C3C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Weight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C3C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Signals</w:t>
            </w:r>
          </w:p>
        </w:tc>
      </w:tr>
      <w:tr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Product Adoption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30%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DAU, feature usage, login frequency</w:t>
            </w:r>
          </w:p>
        </w:tc>
      </w:tr>
      <w:tr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Relationship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25%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NPS, responsiveness, exec engagement</w:t>
            </w:r>
          </w:p>
        </w:tc>
      </w:tr>
      <w:tr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Outcomes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25%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Success criteria achievement rate</w:t>
            </w:r>
          </w:p>
        </w:tc>
      </w:tr>
      <w:tr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Support Health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20%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Open tickets, CSAT, escalation count</w:t>
            </w:r>
          </w:p>
        </w:tc>
      </w:tr>
    </w:tbl>
    <w:p>
      <w:pPr>
        <w:spacing w:before="12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20" w:before="300"/>
      </w:pPr>
      <w:r>
        <w:rPr>
          <w:rFonts w:ascii="Arial" w:cs="Arial" w:eastAsia="Arial" w:hAnsi="Arial"/>
          <w:b/>
          <w:bCs/>
          <w:color w:val="1C3C5A"/>
          <w:sz w:val="28"/>
          <w:szCs w:val="28"/>
        </w:rPr>
        <w:t xml:space="preserve">5. Time-to-Value SLA (New)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SMB clients: go-live within 3 weeks — breach triggers CSM escalation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Mid-market clients: go-live within 5 weeks — breach triggers VP review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Enterprise clients: go-live within 10 weeks — milestone-based SLA tracked per contract</w:t>
      </w:r>
    </w:p>
    <w:p>
      <w:pPr>
        <w:pStyle w:val="Heading1"/>
        <w:pBdr>
          <w:bottom w:val="single" w:color="2E75B6" w:sz="6" w:space="1"/>
        </w:pBdr>
        <w:spacing w:after="120" w:before="300"/>
      </w:pPr>
      <w:r>
        <w:rPr>
          <w:rFonts w:ascii="Arial" w:cs="Arial" w:eastAsia="Arial" w:hAnsi="Arial"/>
          <w:b/>
          <w:bCs/>
          <w:color w:val="1C3C5A"/>
          <w:sz w:val="28"/>
          <w:szCs w:val="28"/>
        </w:rPr>
        <w:t xml:space="preserve">6. Change Log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C3C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C3C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Doc ID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C3C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C3C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Changes</w:t>
            </w:r>
          </w:p>
        </w:tc>
      </w:tr>
      <w:tr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1.0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OPS-001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Jan 2025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Initial release</w:t>
            </w:r>
          </w:p>
        </w:tc>
      </w:tr>
      <w:tr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2.0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OPS-006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Jun 2026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6-phase model, AI checklist, health scoring, TTV SLA</w:t>
            </w:r>
          </w:p>
        </w:tc>
      </w:tr>
    </w:tbl>
    <w:p>
      <w:pPr>
        <w:spacing w:before="12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2"/>
      </w:pBdr>
      <w:jc w:val="right"/>
    </w:pPr>
    <w:r>
      <w:rPr>
        <w:rFonts w:ascii="Arial" w:cs="Arial" w:eastAsia="Arial" w:hAnsi="Arial"/>
        <w:color w:val="888888"/>
        <w:sz w:val="16"/>
        <w:szCs w:val="16"/>
      </w:rPr>
      <w:t xml:space="preserve">Operations | OPS-006 |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hd w:fill="1C3C5A" w:val="clear"/>
      <w:spacing w:after="80" w:before="80"/>
      <w:ind w:left="200" w:right="200"/>
    </w:pPr>
    <w:r>
      <w:rPr>
        <w:rFonts w:ascii="Arial" w:cs="Arial" w:eastAsia="Arial" w:hAnsi="Arial"/>
        <w:b/>
        <w:bCs/>
        <w:color w:val="FFFFFF"/>
        <w:sz w:val="20"/>
        <w:szCs w:val="20"/>
      </w:rPr>
      <w:t xml:space="preserve">OPS-006 — Client Onboarding Process v2.0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2026-06-06T05:03:30.057Z</dcterms:created>
  <dcterms:modified xsi:type="dcterms:W3CDTF">2026-06-06T05:03:30.057Z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