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1B365D"/>
          <w:sz w:val="28"/>
        </w:rPr>
        <w:t>MIRPUR UNIVERSITY OF SCIENCE AND TECHNOLOGY (MUST)</w:t>
      </w:r>
    </w:p>
    <w:p>
      <w:pPr>
        <w:spacing w:after="720"/>
        <w:jc w:val="center"/>
      </w:pPr>
      <w:r>
        <w:rPr>
          <w:rFonts w:ascii="Calibri" w:hAnsi="Calibri"/>
          <w:color w:val="646E78"/>
          <w:sz w:val="22"/>
        </w:rPr>
        <w:t>Department of Software Engineering &amp; Computer Science</w:t>
        <w:br/>
        <w:t>Faculty of Engineering &amp; Technology</w:t>
      </w:r>
    </w:p>
    <w:p>
      <w:pPr>
        <w:spacing w:before="400" w:after="240"/>
        <w:jc w:val="center"/>
      </w:pPr>
      <w:r>
        <w:rPr>
          <w:rFonts w:ascii="Calibri" w:hAnsi="Calibri"/>
          <w:b/>
          <w:color w:val="1B365D"/>
          <w:sz w:val="44"/>
        </w:rPr>
        <w:t>FACIAL AGE CATEGORIZATION USING MACHINE LEARNING &amp; DEEP LEARNING</w:t>
      </w:r>
    </w:p>
    <w:p>
      <w:pPr>
        <w:spacing w:after="800"/>
        <w:jc w:val="center"/>
      </w:pPr>
      <w:r>
        <w:rPr>
          <w:rFonts w:ascii="Calibri" w:hAnsi="Calibri"/>
          <w:i/>
          <w:color w:val="34495E"/>
          <w:sz w:val="26"/>
        </w:rPr>
        <w:t>A Comparative Empirical Study: Ordinal Ridge Regression vs. Balanced Random Forest vs. Convolutional Neural Networks (CNN)</w:t>
      </w:r>
    </w:p>
    <w:p>
      <w:pPr>
        <w:spacing w:before="1200" w:after="120"/>
        <w:jc w:val="center"/>
      </w:pPr>
      <w:r>
        <w:rPr>
          <w:b/>
          <w:sz w:val="22"/>
        </w:rPr>
        <w:t>Submitted By:</w:t>
        <w:br/>
      </w:r>
      <w:r>
        <w:rPr>
          <w:b/>
          <w:color w:val="1B365D"/>
          <w:sz w:val="26"/>
        </w:rPr>
        <w:t>RAHIM ULLAH</w:t>
        <w:br/>
      </w:r>
      <w:r>
        <w:rPr>
          <w:sz w:val="22"/>
        </w:rPr>
        <w:t>Registration / Roll No: FA24-BSE-051</w:t>
        <w:br/>
      </w:r>
      <w:r>
        <w:rPr>
          <w:sz w:val="22"/>
        </w:rPr>
        <w:t>Course: Machine Learning &amp; Data Science (Lab &amp; Theory)</w:t>
        <w:br/>
      </w:r>
      <w:r>
        <w:rPr>
          <w:i/>
          <w:sz w:val="21"/>
        </w:rPr>
        <w:t>Semester: Fall 2026 | Session: 2024–2028</w:t>
      </w:r>
    </w:p>
    <w:p>
      <w:r>
        <w:br w:type="page"/>
      </w:r>
    </w:p>
    <w:p>
      <w:pPr>
        <w:pStyle w:val="Heading1"/>
      </w:pPr>
      <w:r>
        <w:rPr>
          <w:b/>
          <w:color w:val="1B365D"/>
          <w:sz w:val="32"/>
        </w:rPr>
        <w:t>1. Executive Summary</w:t>
      </w:r>
    </w:p>
    <w:p>
      <w:pPr>
        <w:spacing w:line="288" w:lineRule="auto" w:after="160"/>
      </w:pPr>
      <w:r>
        <w:t>Human facial age estimation represents one of the most intellectually stimulating and challenging frontiers in computer vision and biometric artificial intelligence. Facial morphology evolves under non-linear biological processes, compounded by external variables such as illumination, facial expressions, head pose variations, and genetic diversity. This project investigates the progression of machine learning paradigms—spanning classical linear modeling, tree ensembles, and deep representation learning—to classify unconstrained facial images into three distinct developmental cohorts: YOUNG (0 to 20 years), MIDDLE (21 to 50 years), and OLD (51+ years).</w:t>
      </w:r>
    </w:p>
    <w:p>
      <w:pPr>
        <w:spacing w:line="288" w:lineRule="auto" w:after="160"/>
      </w:pPr>
      <w:r>
        <w:t>The experimental framework rigorously evaluates three distinct paradigms on 19,906 annotated facial images from Kaggle:</w:t>
        <w:br/>
        <w:t>1. Ordinal Ridge Regression with PCA Eigenfaces: Formulating age as an inherently ordered continuum (0 &lt; 1 &lt; 2), regularized via L2 penalties to eliminate collinearity and solve the p &gt;&gt; n curse of dimensionality.</w:t>
        <w:br/>
        <w:t>2. Balanced Random Forest Classifier: An ensemble of 150 decorrelated decision trees employing cost-sensitive inverse frequency class weighting to overcome acute dataset skew.</w:t>
        <w:br/>
        <w:t>3. Deep Convolutional Neural Network (CNN): A custom 3-block hierarchical feature learning architecture with Batch Normalization, Spatial Max-Pooling, Dropout regularization, and Weighted Cross-Entropy Loss trained end-to-end directly from raw pixels.</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40" w:type="dxa"/>
              <w:bottom w:w="140" w:type="dxa"/>
              <w:left w:w="200" w:type="dxa"/>
              <w:right w:w="200" w:type="dxa"/>
            </w:tcMar>
          </w:tcPr>
          <w:p>
            <w:pPr>
              <w:spacing w:line="276" w:lineRule="auto" w:after="40" w:before="40"/>
            </w:pPr>
            <w:r>
              <w:rPr>
                <w:rFonts w:ascii="Calibri" w:hAnsi="Calibri"/>
                <w:b/>
                <w:color w:val="1B365D"/>
                <w:sz w:val="21"/>
              </w:rPr>
              <w:t xml:space="preserve">Core Project Finding: </w:t>
            </w:r>
            <w:r>
              <w:rPr>
                <w:rFonts w:ascii="Calibri" w:hAnsi="Calibri"/>
                <w:i/>
                <w:color w:val="34495E"/>
                <w:sz w:val="20"/>
              </w:rPr>
              <w:t>Deep Convolutional Neural Networks outperformed classical feature extraction, achieving 60.30% Balanced Accuracy and a Macro F1-score of 0.5309, demonstrating superior ability to extract localized facial aging cues (wrinkles, skin texture, nasolabial folds) while boosting minority 'OLD' recall from near 0% to an impressive 60.00%.</w:t>
            </w:r>
          </w:p>
        </w:tc>
      </w:tr>
    </w:tbl>
    <w:p>
      <w:pPr>
        <w:spacing w:after="120"/>
      </w:pPr>
    </w:p>
    <w:p>
      <w:pPr>
        <w:pStyle w:val="Heading1"/>
      </w:pPr>
      <w:r>
        <w:rPr>
          <w:color w:val="1B365D"/>
          <w:sz w:val="32"/>
        </w:rPr>
        <w:t>2. Dataset Exploration &amp; Class Imbalance Audit</w:t>
      </w:r>
    </w:p>
    <w:p>
      <w:pPr>
        <w:spacing w:after="160"/>
      </w:pPr>
      <w:r>
        <w:t>The project utilizes the official Kaggle Facial Age Recognition benchmark dataset, comprising 19,906 labeled face crops. A rigorous exploratory data analysis (EDA) was conducted to verify data integrity, sample uniformity, and class distributions.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B365D"/>
            <w:tcMar>
              <w:top w:w="140" w:type="dxa"/>
              <w:bottom w:w="140" w:type="dxa"/>
              <w:left w:w="180" w:type="dxa"/>
              <w:right w:w="180" w:type="dxa"/>
            </w:tcMar>
          </w:tcPr>
          <w:p>
            <w:pPr>
              <w:jc w:val="center"/>
            </w:pPr>
            <w:r>
              <w:rPr>
                <w:rFonts w:ascii="Calibri" w:hAnsi="Calibri"/>
                <w:b/>
                <w:color w:val="FFFFFF"/>
                <w:sz w:val="21"/>
              </w:rPr>
              <w:t>Cohort Class</w:t>
            </w:r>
          </w:p>
        </w:tc>
        <w:tc>
          <w:tcPr>
            <w:tcW w:type="dxa" w:w="1584"/>
            <w:shd w:fill="1B365D"/>
            <w:tcMar>
              <w:top w:w="140" w:type="dxa"/>
              <w:bottom w:w="140" w:type="dxa"/>
              <w:left w:w="180" w:type="dxa"/>
              <w:right w:w="180" w:type="dxa"/>
            </w:tcMar>
          </w:tcPr>
          <w:p>
            <w:pPr>
              <w:jc w:val="center"/>
            </w:pPr>
            <w:r>
              <w:rPr>
                <w:rFonts w:ascii="Calibri" w:hAnsi="Calibri"/>
                <w:b/>
                <w:color w:val="FFFFFF"/>
                <w:sz w:val="21"/>
              </w:rPr>
              <w:t>Numerical Index</w:t>
            </w:r>
          </w:p>
        </w:tc>
        <w:tc>
          <w:tcPr>
            <w:tcW w:type="dxa" w:w="1584"/>
            <w:shd w:fill="1B365D"/>
            <w:tcMar>
              <w:top w:w="140" w:type="dxa"/>
              <w:bottom w:w="140" w:type="dxa"/>
              <w:left w:w="180" w:type="dxa"/>
              <w:right w:w="180" w:type="dxa"/>
            </w:tcMar>
          </w:tcPr>
          <w:p>
            <w:pPr>
              <w:jc w:val="center"/>
            </w:pPr>
            <w:r>
              <w:rPr>
                <w:rFonts w:ascii="Calibri" w:hAnsi="Calibri"/>
                <w:b/>
                <w:color w:val="FFFFFF"/>
                <w:sz w:val="21"/>
              </w:rPr>
              <w:t>Total Samples</w:t>
            </w:r>
          </w:p>
        </w:tc>
        <w:tc>
          <w:tcPr>
            <w:tcW w:type="dxa" w:w="1584"/>
            <w:shd w:fill="1B365D"/>
            <w:tcMar>
              <w:top w:w="140" w:type="dxa"/>
              <w:bottom w:w="140" w:type="dxa"/>
              <w:left w:w="180" w:type="dxa"/>
              <w:right w:w="180" w:type="dxa"/>
            </w:tcMar>
          </w:tcPr>
          <w:p>
            <w:pPr>
              <w:jc w:val="center"/>
            </w:pPr>
            <w:r>
              <w:rPr>
                <w:rFonts w:ascii="Calibri" w:hAnsi="Calibri"/>
                <w:b/>
                <w:color w:val="FFFFFF"/>
                <w:sz w:val="21"/>
              </w:rPr>
              <w:t>Percentage (%)</w:t>
            </w:r>
          </w:p>
        </w:tc>
        <w:tc>
          <w:tcPr>
            <w:tcW w:type="dxa" w:w="2880"/>
            <w:shd w:fill="1B365D"/>
            <w:tcMar>
              <w:top w:w="140" w:type="dxa"/>
              <w:bottom w:w="140" w:type="dxa"/>
              <w:left w:w="180" w:type="dxa"/>
              <w:right w:w="180" w:type="dxa"/>
            </w:tcMar>
          </w:tcPr>
          <w:p>
            <w:pPr>
              <w:jc w:val="center"/>
            </w:pPr>
            <w:r>
              <w:rPr>
                <w:rFonts w:ascii="Calibri" w:hAnsi="Calibri"/>
                <w:b/>
                <w:color w:val="FFFFFF"/>
                <w:sz w:val="21"/>
              </w:rPr>
              <w:t>Real-World Representation</w:t>
            </w:r>
          </w:p>
        </w:tc>
      </w:tr>
      <w:tr>
        <w:tc>
          <w:tcPr>
            <w:tcW w:type="dxa" w:w="1728"/>
            <w:shd w:fill="FFFFFF"/>
            <w:tcMar>
              <w:top w:w="100" w:type="dxa"/>
              <w:bottom w:w="100" w:type="dxa"/>
              <w:left w:w="150" w:type="dxa"/>
              <w:right w:w="150" w:type="dxa"/>
            </w:tcMar>
          </w:tcPr>
          <w:p>
            <w:pPr>
              <w:jc w:val="left"/>
            </w:pPr>
            <w:r>
              <w:rPr>
                <w:rFonts w:ascii="Calibri" w:hAnsi="Calibri"/>
                <w:color w:val="2C3E50"/>
                <w:sz w:val="19"/>
              </w:rPr>
              <w:t>MIDDLE</w:t>
            </w:r>
          </w:p>
        </w:tc>
        <w:tc>
          <w:tcPr>
            <w:tcW w:type="dxa" w:w="1584"/>
            <w:shd w:fill="FFFFFF"/>
            <w:tcMar>
              <w:top w:w="100" w:type="dxa"/>
              <w:bottom w:w="100" w:type="dxa"/>
              <w:left w:w="150" w:type="dxa"/>
              <w:right w:w="150" w:type="dxa"/>
            </w:tcMar>
          </w:tcPr>
          <w:p>
            <w:pPr>
              <w:jc w:val="center"/>
            </w:pPr>
            <w:r>
              <w:rPr>
                <w:rFonts w:ascii="Calibri" w:hAnsi="Calibri"/>
                <w:color w:val="2C3E50"/>
                <w:sz w:val="19"/>
              </w:rPr>
              <w:t>1</w:t>
            </w:r>
          </w:p>
        </w:tc>
        <w:tc>
          <w:tcPr>
            <w:tcW w:type="dxa" w:w="1584"/>
            <w:shd w:fill="FFFFFF"/>
            <w:tcMar>
              <w:top w:w="100" w:type="dxa"/>
              <w:bottom w:w="100" w:type="dxa"/>
              <w:left w:w="150" w:type="dxa"/>
              <w:right w:w="150" w:type="dxa"/>
            </w:tcMar>
          </w:tcPr>
          <w:p>
            <w:pPr>
              <w:jc w:val="right"/>
            </w:pPr>
            <w:r>
              <w:rPr>
                <w:rFonts w:ascii="Calibri" w:hAnsi="Calibri"/>
                <w:color w:val="2C3E50"/>
                <w:sz w:val="19"/>
              </w:rPr>
              <w:t>10,804</w:t>
            </w:r>
          </w:p>
        </w:tc>
        <w:tc>
          <w:tcPr>
            <w:tcW w:type="dxa" w:w="1584"/>
            <w:shd w:fill="FFFFFF"/>
            <w:tcMar>
              <w:top w:w="100" w:type="dxa"/>
              <w:bottom w:w="100" w:type="dxa"/>
              <w:left w:w="150" w:type="dxa"/>
              <w:right w:w="150" w:type="dxa"/>
            </w:tcMar>
          </w:tcPr>
          <w:p>
            <w:pPr>
              <w:jc w:val="right"/>
            </w:pPr>
            <w:r>
              <w:rPr>
                <w:rFonts w:ascii="Calibri" w:hAnsi="Calibri"/>
                <w:color w:val="2C3E50"/>
                <w:sz w:val="19"/>
              </w:rPr>
              <w:t>54.28%</w:t>
            </w:r>
          </w:p>
        </w:tc>
        <w:tc>
          <w:tcPr>
            <w:tcW w:type="dxa" w:w="2880"/>
            <w:shd w:fill="FFFFFF"/>
            <w:tcMar>
              <w:top w:w="100" w:type="dxa"/>
              <w:bottom w:w="100" w:type="dxa"/>
              <w:left w:w="150" w:type="dxa"/>
              <w:right w:w="150" w:type="dxa"/>
            </w:tcMar>
          </w:tcPr>
          <w:p>
            <w:pPr>
              <w:jc w:val="left"/>
            </w:pPr>
            <w:r>
              <w:rPr>
                <w:rFonts w:ascii="Calibri" w:hAnsi="Calibri"/>
                <w:color w:val="2C3E50"/>
                <w:sz w:val="19"/>
              </w:rPr>
              <w:t>Working adults, high representation across web datasets</w:t>
            </w:r>
          </w:p>
        </w:tc>
      </w:tr>
      <w:tr>
        <w:tc>
          <w:tcPr>
            <w:tcW w:type="dxa" w:w="1728"/>
            <w:shd w:fill="F8F9FA"/>
            <w:tcMar>
              <w:top w:w="100" w:type="dxa"/>
              <w:bottom w:w="100" w:type="dxa"/>
              <w:left w:w="150" w:type="dxa"/>
              <w:right w:w="150" w:type="dxa"/>
            </w:tcMar>
          </w:tcPr>
          <w:p>
            <w:pPr>
              <w:jc w:val="left"/>
            </w:pPr>
            <w:r>
              <w:rPr>
                <w:rFonts w:ascii="Calibri" w:hAnsi="Calibri"/>
                <w:color w:val="2C3E50"/>
                <w:sz w:val="19"/>
              </w:rPr>
              <w:t>YOUNG</w:t>
            </w:r>
          </w:p>
        </w:tc>
        <w:tc>
          <w:tcPr>
            <w:tcW w:type="dxa" w:w="1584"/>
            <w:shd w:fill="F8F9FA"/>
            <w:tcMar>
              <w:top w:w="100" w:type="dxa"/>
              <w:bottom w:w="100" w:type="dxa"/>
              <w:left w:w="150" w:type="dxa"/>
              <w:right w:w="150" w:type="dxa"/>
            </w:tcMar>
          </w:tcPr>
          <w:p>
            <w:pPr>
              <w:jc w:val="center"/>
            </w:pPr>
            <w:r>
              <w:rPr>
                <w:rFonts w:ascii="Calibri" w:hAnsi="Calibri"/>
                <w:color w:val="2C3E50"/>
                <w:sz w:val="19"/>
              </w:rPr>
              <w:t>0</w:t>
            </w:r>
          </w:p>
        </w:tc>
        <w:tc>
          <w:tcPr>
            <w:tcW w:type="dxa" w:w="1584"/>
            <w:shd w:fill="F8F9FA"/>
            <w:tcMar>
              <w:top w:w="100" w:type="dxa"/>
              <w:bottom w:w="100" w:type="dxa"/>
              <w:left w:w="150" w:type="dxa"/>
              <w:right w:w="150" w:type="dxa"/>
            </w:tcMar>
          </w:tcPr>
          <w:p>
            <w:pPr>
              <w:jc w:val="right"/>
            </w:pPr>
            <w:r>
              <w:rPr>
                <w:rFonts w:ascii="Calibri" w:hAnsi="Calibri"/>
                <w:color w:val="2C3E50"/>
                <w:sz w:val="19"/>
              </w:rPr>
              <w:t>6,706</w:t>
            </w:r>
          </w:p>
        </w:tc>
        <w:tc>
          <w:tcPr>
            <w:tcW w:type="dxa" w:w="1584"/>
            <w:shd w:fill="F8F9FA"/>
            <w:tcMar>
              <w:top w:w="100" w:type="dxa"/>
              <w:bottom w:w="100" w:type="dxa"/>
              <w:left w:w="150" w:type="dxa"/>
              <w:right w:w="150" w:type="dxa"/>
            </w:tcMar>
          </w:tcPr>
          <w:p>
            <w:pPr>
              <w:jc w:val="right"/>
            </w:pPr>
            <w:r>
              <w:rPr>
                <w:rFonts w:ascii="Calibri" w:hAnsi="Calibri"/>
                <w:color w:val="2C3E50"/>
                <w:sz w:val="19"/>
              </w:rPr>
              <w:t>33.69%</w:t>
            </w:r>
          </w:p>
        </w:tc>
        <w:tc>
          <w:tcPr>
            <w:tcW w:type="dxa" w:w="2880"/>
            <w:shd w:fill="F8F9FA"/>
            <w:tcMar>
              <w:top w:w="100" w:type="dxa"/>
              <w:bottom w:w="100" w:type="dxa"/>
              <w:left w:w="150" w:type="dxa"/>
              <w:right w:w="150" w:type="dxa"/>
            </w:tcMar>
          </w:tcPr>
          <w:p>
            <w:pPr>
              <w:jc w:val="left"/>
            </w:pPr>
            <w:r>
              <w:rPr>
                <w:rFonts w:ascii="Calibri" w:hAnsi="Calibri"/>
                <w:color w:val="2C3E50"/>
                <w:sz w:val="19"/>
              </w:rPr>
              <w:t>Infants, adolescents, and college-age individuals</w:t>
            </w:r>
          </w:p>
        </w:tc>
      </w:tr>
      <w:tr>
        <w:tc>
          <w:tcPr>
            <w:tcW w:type="dxa" w:w="1728"/>
            <w:shd w:fill="FFFFFF"/>
            <w:tcMar>
              <w:top w:w="100" w:type="dxa"/>
              <w:bottom w:w="100" w:type="dxa"/>
              <w:left w:w="150" w:type="dxa"/>
              <w:right w:w="150" w:type="dxa"/>
            </w:tcMar>
          </w:tcPr>
          <w:p>
            <w:pPr>
              <w:jc w:val="left"/>
            </w:pPr>
            <w:r>
              <w:rPr>
                <w:rFonts w:ascii="Calibri" w:hAnsi="Calibri"/>
                <w:color w:val="2C3E50"/>
                <w:sz w:val="19"/>
              </w:rPr>
              <w:t>OLD</w:t>
            </w:r>
          </w:p>
        </w:tc>
        <w:tc>
          <w:tcPr>
            <w:tcW w:type="dxa" w:w="1584"/>
            <w:shd w:fill="FFFFFF"/>
            <w:tcMar>
              <w:top w:w="100" w:type="dxa"/>
              <w:bottom w:w="100" w:type="dxa"/>
              <w:left w:w="150" w:type="dxa"/>
              <w:right w:w="150" w:type="dxa"/>
            </w:tcMar>
          </w:tcPr>
          <w:p>
            <w:pPr>
              <w:jc w:val="center"/>
            </w:pPr>
            <w:r>
              <w:rPr>
                <w:rFonts w:ascii="Calibri" w:hAnsi="Calibri"/>
                <w:color w:val="2C3E50"/>
                <w:sz w:val="19"/>
              </w:rPr>
              <w:t>2</w:t>
            </w:r>
          </w:p>
        </w:tc>
        <w:tc>
          <w:tcPr>
            <w:tcW w:type="dxa" w:w="1584"/>
            <w:shd w:fill="FFFFFF"/>
            <w:tcMar>
              <w:top w:w="100" w:type="dxa"/>
              <w:bottom w:w="100" w:type="dxa"/>
              <w:left w:w="150" w:type="dxa"/>
              <w:right w:w="150" w:type="dxa"/>
            </w:tcMar>
          </w:tcPr>
          <w:p>
            <w:pPr>
              <w:jc w:val="right"/>
            </w:pPr>
            <w:r>
              <w:rPr>
                <w:rFonts w:ascii="Calibri" w:hAnsi="Calibri"/>
                <w:color w:val="2C3E50"/>
                <w:sz w:val="19"/>
              </w:rPr>
              <w:t>2,396</w:t>
            </w:r>
          </w:p>
        </w:tc>
        <w:tc>
          <w:tcPr>
            <w:tcW w:type="dxa" w:w="1584"/>
            <w:shd w:fill="FFFFFF"/>
            <w:tcMar>
              <w:top w:w="100" w:type="dxa"/>
              <w:bottom w:w="100" w:type="dxa"/>
              <w:left w:w="150" w:type="dxa"/>
              <w:right w:w="150" w:type="dxa"/>
            </w:tcMar>
          </w:tcPr>
          <w:p>
            <w:pPr>
              <w:jc w:val="right"/>
            </w:pPr>
            <w:r>
              <w:rPr>
                <w:rFonts w:ascii="Calibri" w:hAnsi="Calibri"/>
                <w:color w:val="2C3E50"/>
                <w:sz w:val="19"/>
              </w:rPr>
              <w:t>12.04%</w:t>
            </w:r>
          </w:p>
        </w:tc>
        <w:tc>
          <w:tcPr>
            <w:tcW w:type="dxa" w:w="2880"/>
            <w:shd w:fill="FFFFFF"/>
            <w:tcMar>
              <w:top w:w="100" w:type="dxa"/>
              <w:bottom w:w="100" w:type="dxa"/>
              <w:left w:w="150" w:type="dxa"/>
              <w:right w:w="150" w:type="dxa"/>
            </w:tcMar>
          </w:tcPr>
          <w:p>
            <w:pPr>
              <w:jc w:val="left"/>
            </w:pPr>
            <w:r>
              <w:rPr>
                <w:rFonts w:ascii="Calibri" w:hAnsi="Calibri"/>
                <w:color w:val="2C3E50"/>
                <w:sz w:val="19"/>
              </w:rPr>
              <w:t>Elderly senior citizens (Severely under-represented cohort)</w:t>
            </w:r>
          </w:p>
        </w:tc>
      </w:tr>
      <w:tr>
        <w:tc>
          <w:tcPr>
            <w:tcW w:type="dxa" w:w="1728"/>
            <w:shd w:fill="F8F9FA"/>
            <w:tcMar>
              <w:top w:w="100" w:type="dxa"/>
              <w:bottom w:w="100" w:type="dxa"/>
              <w:left w:w="150" w:type="dxa"/>
              <w:right w:w="150" w:type="dxa"/>
            </w:tcMar>
          </w:tcPr>
          <w:p>
            <w:pPr>
              <w:jc w:val="left"/>
            </w:pPr>
            <w:r>
              <w:rPr>
                <w:rFonts w:ascii="Calibri" w:hAnsi="Calibri"/>
                <w:color w:val="2C3E50"/>
                <w:sz w:val="19"/>
              </w:rPr>
              <w:t>TOTAL</w:t>
            </w:r>
          </w:p>
        </w:tc>
        <w:tc>
          <w:tcPr>
            <w:tcW w:type="dxa" w:w="1584"/>
            <w:shd w:fill="F8F9FA"/>
            <w:tcMar>
              <w:top w:w="100" w:type="dxa"/>
              <w:bottom w:w="100" w:type="dxa"/>
              <w:left w:w="150" w:type="dxa"/>
              <w:right w:w="150" w:type="dxa"/>
            </w:tcMar>
          </w:tcPr>
          <w:p>
            <w:pPr>
              <w:jc w:val="center"/>
            </w:pPr>
            <w:r>
              <w:rPr>
                <w:rFonts w:ascii="Calibri" w:hAnsi="Calibri"/>
                <w:color w:val="2C3E50"/>
                <w:sz w:val="19"/>
              </w:rPr>
              <w:t>-</w:t>
            </w:r>
          </w:p>
        </w:tc>
        <w:tc>
          <w:tcPr>
            <w:tcW w:type="dxa" w:w="1584"/>
            <w:shd w:fill="F8F9FA"/>
            <w:tcMar>
              <w:top w:w="100" w:type="dxa"/>
              <w:bottom w:w="100" w:type="dxa"/>
              <w:left w:w="150" w:type="dxa"/>
              <w:right w:w="150" w:type="dxa"/>
            </w:tcMar>
          </w:tcPr>
          <w:p>
            <w:pPr>
              <w:jc w:val="right"/>
            </w:pPr>
            <w:r>
              <w:rPr>
                <w:rFonts w:ascii="Calibri" w:hAnsi="Calibri"/>
                <w:color w:val="2C3E50"/>
                <w:sz w:val="19"/>
              </w:rPr>
              <w:t>19,906</w:t>
            </w:r>
          </w:p>
        </w:tc>
        <w:tc>
          <w:tcPr>
            <w:tcW w:type="dxa" w:w="1584"/>
            <w:shd w:fill="F8F9FA"/>
            <w:tcMar>
              <w:top w:w="100" w:type="dxa"/>
              <w:bottom w:w="100" w:type="dxa"/>
              <w:left w:w="150" w:type="dxa"/>
              <w:right w:w="150" w:type="dxa"/>
            </w:tcMar>
          </w:tcPr>
          <w:p>
            <w:pPr>
              <w:jc w:val="right"/>
            </w:pPr>
            <w:r>
              <w:rPr>
                <w:rFonts w:ascii="Calibri" w:hAnsi="Calibri"/>
                <w:color w:val="2C3E50"/>
                <w:sz w:val="19"/>
              </w:rPr>
              <w:t>100.00%</w:t>
            </w:r>
          </w:p>
        </w:tc>
        <w:tc>
          <w:tcPr>
            <w:tcW w:type="dxa" w:w="2880"/>
            <w:shd w:fill="F8F9FA"/>
            <w:tcMar>
              <w:top w:w="100" w:type="dxa"/>
              <w:bottom w:w="100" w:type="dxa"/>
              <w:left w:w="150" w:type="dxa"/>
              <w:right w:w="150" w:type="dxa"/>
            </w:tcMar>
          </w:tcPr>
          <w:p>
            <w:pPr>
              <w:jc w:val="left"/>
            </w:pPr>
            <w:r>
              <w:rPr>
                <w:rFonts w:ascii="Calibri" w:hAnsi="Calibri"/>
                <w:color w:val="2C3E50"/>
                <w:sz w:val="19"/>
              </w:rPr>
              <w:t>Full Kaggle Facial Age Dataset Benchmark</w:t>
            </w:r>
          </w:p>
        </w:tc>
      </w:tr>
    </w:tbl>
    <w:p>
      <w:pPr>
        <w:spacing w:after="120"/>
      </w:pPr>
    </w:p>
    <w:p>
      <w:pPr>
        <w:jc w:val="center"/>
      </w:pPr>
    </w:p>
    <w:p>
      <w:r>
        <w:drawing>
          <wp:inline xmlns:a="http://schemas.openxmlformats.org/drawingml/2006/main" xmlns:pic="http://schemas.openxmlformats.org/drawingml/2006/picture">
            <wp:extent cx="5669280" cy="2203027"/>
            <wp:docPr id="1" name="Picture 1"/>
            <wp:cNvGraphicFramePr>
              <a:graphicFrameLocks noChangeAspect="1"/>
            </wp:cNvGraphicFramePr>
            <a:graphic>
              <a:graphicData uri="http://schemas.openxmlformats.org/drawingml/2006/picture">
                <pic:pic>
                  <pic:nvPicPr>
                    <pic:cNvPr id="0" name="graph1_class_distribution.png"/>
                    <pic:cNvPicPr/>
                  </pic:nvPicPr>
                  <pic:blipFill>
                    <a:blip r:embed="rId9"/>
                    <a:stretch>
                      <a:fillRect/>
                    </a:stretch>
                  </pic:blipFill>
                  <pic:spPr>
                    <a:xfrm>
                      <a:off x="0" y="0"/>
                      <a:ext cx="5669280" cy="2203027"/>
                    </a:xfrm>
                    <a:prstGeom prst="rect"/>
                  </pic:spPr>
                </pic:pic>
              </a:graphicData>
            </a:graphic>
          </wp:inline>
        </w:drawing>
      </w:r>
    </w:p>
    <w:p>
      <w:pPr>
        <w:spacing w:before="80" w:after="240"/>
        <w:jc w:val="center"/>
      </w:pPr>
      <w:r>
        <w:rPr>
          <w:rFonts w:ascii="Calibri" w:hAnsi="Calibri"/>
          <w:b/>
          <w:color w:val="1B365D"/>
          <w:sz w:val="19"/>
        </w:rPr>
        <w:t xml:space="preserve">Figure 1: </w:t>
      </w:r>
      <w:r>
        <w:rPr>
          <w:rFonts w:ascii="Calibri" w:hAnsi="Calibri"/>
          <w:i/>
          <w:color w:val="646E78"/>
          <w:sz w:val="19"/>
        </w:rPr>
        <w:t>Empirical Class Distribution and Skewness across YOUNG, MIDDLE, and OLD cohorts.</w:t>
      </w:r>
    </w:p>
    <w:p>
      <w:pPr>
        <w:jc w:val="center"/>
      </w:pPr>
    </w:p>
    <w:p>
      <w:r>
        <w:drawing>
          <wp:inline xmlns:a="http://schemas.openxmlformats.org/drawingml/2006/main" xmlns:pic="http://schemas.openxmlformats.org/drawingml/2006/picture">
            <wp:extent cx="5669280" cy="6188688"/>
            <wp:docPr id="2" name="Picture 2"/>
            <wp:cNvGraphicFramePr>
              <a:graphicFrameLocks noChangeAspect="1"/>
            </wp:cNvGraphicFramePr>
            <a:graphic>
              <a:graphicData uri="http://schemas.openxmlformats.org/drawingml/2006/picture">
                <pic:pic>
                  <pic:nvPicPr>
                    <pic:cNvPr id="0" name="graph0_sample_faces.png"/>
                    <pic:cNvPicPr/>
                  </pic:nvPicPr>
                  <pic:blipFill>
                    <a:blip r:embed="rId10"/>
                    <a:stretch>
                      <a:fillRect/>
                    </a:stretch>
                  </pic:blipFill>
                  <pic:spPr>
                    <a:xfrm>
                      <a:off x="0" y="0"/>
                      <a:ext cx="5669280" cy="6188688"/>
                    </a:xfrm>
                    <a:prstGeom prst="rect"/>
                  </pic:spPr>
                </pic:pic>
              </a:graphicData>
            </a:graphic>
          </wp:inline>
        </w:drawing>
      </w:r>
    </w:p>
    <w:p>
      <w:pPr>
        <w:spacing w:before="80" w:after="240"/>
        <w:jc w:val="center"/>
      </w:pPr>
      <w:r>
        <w:rPr>
          <w:rFonts w:ascii="Calibri" w:hAnsi="Calibri"/>
          <w:b/>
          <w:color w:val="1B365D"/>
          <w:sz w:val="19"/>
        </w:rPr>
        <w:t xml:space="preserve">Figure 2: </w:t>
      </w:r>
      <w:r>
        <w:rPr>
          <w:rFonts w:ascii="Calibri" w:hAnsi="Calibri"/>
          <w:i/>
          <w:color w:val="646E78"/>
          <w:sz w:val="19"/>
        </w:rPr>
        <w:t>Sample Facial Crops across YOUNG (Top), MIDDLE (Middle), and OLD (Bottom) age cohorts.</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Mar>
              <w:top w:w="140" w:type="dxa"/>
              <w:bottom w:w="140" w:type="dxa"/>
              <w:left w:w="200" w:type="dxa"/>
              <w:right w:w="200" w:type="dxa"/>
            </w:tcMar>
          </w:tcPr>
          <w:p>
            <w:pPr>
              <w:spacing w:line="276" w:lineRule="auto" w:after="40" w:before="40"/>
            </w:pPr>
            <w:r>
              <w:rPr>
                <w:rFonts w:ascii="Calibri" w:hAnsi="Calibri"/>
                <w:b/>
                <w:color w:val="1B365D"/>
                <w:sz w:val="21"/>
              </w:rPr>
              <w:t xml:space="preserve">Methodological Caution: </w:t>
            </w:r>
            <w:r>
              <w:rPr>
                <w:rFonts w:ascii="Calibri" w:hAnsi="Calibri"/>
                <w:i/>
                <w:color w:val="34495E"/>
                <w:sz w:val="20"/>
              </w:rPr>
              <w:t>Severe Class Imbalance Trap: The MIDDLE class accounts for over 54% of the dataset, while OLD accounts for only 12%. A naive unweighted model could trivially achieve 54% accuracy by simply guessing MIDDLE for every test sample—yielding 0% recall on elderly faces. Consequently, balanced class weighting and Balanced Accuracy (unweighted macro mean of recalls) were instituted as mandatory scientific safeguards.</w:t>
            </w:r>
          </w:p>
        </w:tc>
      </w:tr>
    </w:tbl>
    <w:p>
      <w:pPr>
        <w:spacing w:after="120"/>
      </w:pPr>
    </w:p>
    <w:p>
      <w:pPr>
        <w:pStyle w:val="Heading1"/>
      </w:pPr>
      <w:r>
        <w:rPr>
          <w:color w:val="1B365D"/>
          <w:sz w:val="32"/>
        </w:rPr>
        <w:t>3. Feature Engineering: Overcoming the p &gt;&gt; n Curse via PCA Eigenfaces</w:t>
      </w:r>
    </w:p>
    <w:p>
      <w:pPr>
        <w:spacing w:after="160"/>
      </w:pPr>
      <w:r>
        <w:t>Each raw face image is standardized to a 48x48 single-channel grayscale matrix, producing a feature vector of length 2,304 pixels. Feeding raw pixel values directly into linear regressors produces catastrophic overfitting and mathematical degeneration (p &gt;&gt; n regime), causing ordinary least-squares matrix inversion (X^T X)^(-1) to become rank-deficient and unstable, resulting in severely negative R² scores.</w:t>
      </w:r>
    </w:p>
    <w:p>
      <w:pPr>
        <w:spacing w:after="160"/>
      </w:pPr>
      <w:r>
        <w:t>To resolve this, we implemented Principal Component Analysis (PCA) Eigenfaces. Given the zero-centered data matrix X (N x D), the empirical covariance matrix Sigma is decomposed into orthogonal eigenvectors v_k and eigenvalues lambda_k:</w:t>
        <w:br/>
        <w:t xml:space="preserve">    Sigma = (1 / N) * X^T * X</w:t>
        <w:br/>
        <w:t xml:space="preserve">    Sigma * v_k = lambda_k * v_k</w:t>
        <w:br/>
        <w:t>By retaining the top K = 60 principal components (Eigenfaces), we compressed the feature space by 97.4% (from 2,304 to 60 dimensions) while capturing 90.31% of the cumulative facial variance. This mathematically conditioned the feature space, eliminating collinearity.</w:t>
      </w:r>
    </w:p>
    <w:p>
      <w:pPr>
        <w:pStyle w:val="Heading1"/>
      </w:pPr>
      <w:r>
        <w:rPr>
          <w:color w:val="1B365D"/>
          <w:sz w:val="32"/>
        </w:rPr>
        <w:t>4. Model 1: Ordinal Ridge Regression</w:t>
      </w:r>
    </w:p>
    <w:p>
      <w:pPr>
        <w:spacing w:after="160"/>
      </w:pPr>
      <w:r>
        <w:t>Human aging is inherently continuous and ordinal: a child transitions to an adult before becoming a senior citizen. Treating age as purely nominal categorical classes discards crucial ordinal geometry (misclassifying a YOUNG person as OLD is a severe 2-step error, whereas predicting MIDDLE is only a 1-step error). Therefore, we mapped labels to ordinal numeric targets:</w:t>
        <w:br/>
        <w:t xml:space="preserve">    y in {0 (YOUNG), 1 (MIDDLE), 2 (OLD)}</w:t>
        <w:br/>
        <w:t>Ridge Regression minimizes the penalized least-squares objective with an L2 regularization penalty (alpha = 30.0):</w:t>
        <w:br/>
        <w:t xml:space="preserve">    L_Ridge(w) = ||y - Xw||_2^2 + alpha * ||w||_2^2</w:t>
      </w:r>
    </w:p>
    <w:tbl>
      <w:tblPr>
        <w:tblW w:type="auto" w:w="0"/>
        <w:jc w:val="center"/>
        <w:tblLook w:firstColumn="1" w:firstRow="1" w:lastColumn="0" w:lastRow="0" w:noHBand="0" w:noVBand="1" w:val="04A0"/>
      </w:tblPr>
      <w:tblGrid>
        <w:gridCol w:w="3120"/>
        <w:gridCol w:w="3120"/>
        <w:gridCol w:w="3120"/>
      </w:tblGrid>
      <w:tr>
        <w:tc>
          <w:tcPr>
            <w:tcW w:type="dxa" w:w="3600"/>
            <w:shd w:fill="1B365D"/>
            <w:tcMar>
              <w:top w:w="140" w:type="dxa"/>
              <w:bottom w:w="140" w:type="dxa"/>
              <w:left w:w="180" w:type="dxa"/>
              <w:right w:w="180" w:type="dxa"/>
            </w:tcMar>
          </w:tcPr>
          <w:p>
            <w:pPr>
              <w:jc w:val="center"/>
            </w:pPr>
            <w:r>
              <w:rPr>
                <w:rFonts w:ascii="Calibri" w:hAnsi="Calibri"/>
                <w:b/>
                <w:color w:val="FFFFFF"/>
                <w:sz w:val="21"/>
              </w:rPr>
              <w:t>Metric</w:t>
            </w:r>
          </w:p>
        </w:tc>
        <w:tc>
          <w:tcPr>
            <w:tcW w:type="dxa" w:w="2016"/>
            <w:shd w:fill="1B365D"/>
            <w:tcMar>
              <w:top w:w="140" w:type="dxa"/>
              <w:bottom w:w="140" w:type="dxa"/>
              <w:left w:w="180" w:type="dxa"/>
              <w:right w:w="180" w:type="dxa"/>
            </w:tcMar>
          </w:tcPr>
          <w:p>
            <w:pPr>
              <w:jc w:val="center"/>
            </w:pPr>
            <w:r>
              <w:rPr>
                <w:rFonts w:ascii="Calibri" w:hAnsi="Calibri"/>
                <w:b/>
                <w:color w:val="FFFFFF"/>
                <w:sz w:val="21"/>
              </w:rPr>
              <w:t>Empirical Score</w:t>
            </w:r>
          </w:p>
        </w:tc>
        <w:tc>
          <w:tcPr>
            <w:tcW w:type="dxa" w:w="3744"/>
            <w:shd w:fill="1B365D"/>
            <w:tcMar>
              <w:top w:w="140" w:type="dxa"/>
              <w:bottom w:w="140" w:type="dxa"/>
              <w:left w:w="180" w:type="dxa"/>
              <w:right w:w="180" w:type="dxa"/>
            </w:tcMar>
          </w:tcPr>
          <w:p>
            <w:pPr>
              <w:jc w:val="center"/>
            </w:pPr>
            <w:r>
              <w:rPr>
                <w:rFonts w:ascii="Calibri" w:hAnsi="Calibri"/>
                <w:b/>
                <w:color w:val="FFFFFF"/>
                <w:sz w:val="21"/>
              </w:rPr>
              <w:t>Theoretical Interpretation</w:t>
            </w:r>
          </w:p>
        </w:tc>
      </w:tr>
      <w:tr>
        <w:tc>
          <w:tcPr>
            <w:tcW w:type="dxa" w:w="3600"/>
            <w:shd w:fill="FFFFFF"/>
            <w:tcMar>
              <w:top w:w="100" w:type="dxa"/>
              <w:bottom w:w="100" w:type="dxa"/>
              <w:left w:w="150" w:type="dxa"/>
              <w:right w:w="150" w:type="dxa"/>
            </w:tcMar>
          </w:tcPr>
          <w:p>
            <w:pPr>
              <w:jc w:val="left"/>
            </w:pPr>
            <w:r>
              <w:rPr>
                <w:rFonts w:ascii="Calibri" w:hAnsi="Calibri"/>
                <w:color w:val="2C3E50"/>
                <w:sz w:val="19"/>
              </w:rPr>
              <w:t>R² Score (Coefficient of Determination)</w:t>
            </w:r>
          </w:p>
        </w:tc>
        <w:tc>
          <w:tcPr>
            <w:tcW w:type="dxa" w:w="2016"/>
            <w:shd w:fill="FFFFFF"/>
            <w:tcMar>
              <w:top w:w="100" w:type="dxa"/>
              <w:bottom w:w="100" w:type="dxa"/>
              <w:left w:w="150" w:type="dxa"/>
              <w:right w:w="150" w:type="dxa"/>
            </w:tcMar>
          </w:tcPr>
          <w:p>
            <w:pPr>
              <w:jc w:val="center"/>
            </w:pPr>
            <w:r>
              <w:rPr>
                <w:rFonts w:ascii="Calibri" w:hAnsi="Calibri"/>
                <w:color w:val="2C3E50"/>
                <w:sz w:val="19"/>
              </w:rPr>
              <w:t>+0.1923</w:t>
            </w:r>
          </w:p>
        </w:tc>
        <w:tc>
          <w:tcPr>
            <w:tcW w:type="dxa" w:w="3744"/>
            <w:shd w:fill="FFFFFF"/>
            <w:tcMar>
              <w:top w:w="100" w:type="dxa"/>
              <w:bottom w:w="100" w:type="dxa"/>
              <w:left w:w="150" w:type="dxa"/>
              <w:right w:w="150" w:type="dxa"/>
            </w:tcMar>
          </w:tcPr>
          <w:p>
            <w:pPr>
              <w:jc w:val="left"/>
            </w:pPr>
            <w:r>
              <w:rPr>
                <w:rFonts w:ascii="Calibri" w:hAnsi="Calibri"/>
                <w:color w:val="2C3E50"/>
                <w:sz w:val="19"/>
              </w:rPr>
              <w:t>Positive and stable; successfully captures ~19.2% of facial variance</w:t>
            </w:r>
          </w:p>
        </w:tc>
      </w:tr>
      <w:tr>
        <w:tc>
          <w:tcPr>
            <w:tcW w:type="dxa" w:w="3600"/>
            <w:shd w:fill="F8F9FA"/>
            <w:tcMar>
              <w:top w:w="100" w:type="dxa"/>
              <w:bottom w:w="100" w:type="dxa"/>
              <w:left w:w="150" w:type="dxa"/>
              <w:right w:w="150" w:type="dxa"/>
            </w:tcMar>
          </w:tcPr>
          <w:p>
            <w:pPr>
              <w:jc w:val="left"/>
            </w:pPr>
            <w:r>
              <w:rPr>
                <w:rFonts w:ascii="Calibri" w:hAnsi="Calibri"/>
                <w:color w:val="2C3E50"/>
                <w:sz w:val="19"/>
              </w:rPr>
              <w:t>Root Mean Squared Error (RMSE)</w:t>
            </w:r>
          </w:p>
        </w:tc>
        <w:tc>
          <w:tcPr>
            <w:tcW w:type="dxa" w:w="2016"/>
            <w:shd w:fill="F8F9FA"/>
            <w:tcMar>
              <w:top w:w="100" w:type="dxa"/>
              <w:bottom w:w="100" w:type="dxa"/>
              <w:left w:w="150" w:type="dxa"/>
              <w:right w:w="150" w:type="dxa"/>
            </w:tcMar>
          </w:tcPr>
          <w:p>
            <w:pPr>
              <w:jc w:val="center"/>
            </w:pPr>
            <w:r>
              <w:rPr>
                <w:rFonts w:ascii="Calibri" w:hAnsi="Calibri"/>
                <w:color w:val="2C3E50"/>
                <w:sz w:val="19"/>
              </w:rPr>
              <w:t>0.5750</w:t>
            </w:r>
          </w:p>
        </w:tc>
        <w:tc>
          <w:tcPr>
            <w:tcW w:type="dxa" w:w="3744"/>
            <w:shd w:fill="F8F9FA"/>
            <w:tcMar>
              <w:top w:w="100" w:type="dxa"/>
              <w:bottom w:w="100" w:type="dxa"/>
              <w:left w:w="150" w:type="dxa"/>
              <w:right w:w="150" w:type="dxa"/>
            </w:tcMar>
          </w:tcPr>
          <w:p>
            <w:pPr>
              <w:jc w:val="left"/>
            </w:pPr>
            <w:r>
              <w:rPr>
                <w:rFonts w:ascii="Calibri" w:hAnsi="Calibri"/>
                <w:color w:val="2C3E50"/>
                <w:sz w:val="19"/>
              </w:rPr>
              <w:t>Average error magnitude is ~0.57 category steps</w:t>
            </w:r>
          </w:p>
        </w:tc>
      </w:tr>
      <w:tr>
        <w:tc>
          <w:tcPr>
            <w:tcW w:type="dxa" w:w="3600"/>
            <w:shd w:fill="FFFFFF"/>
            <w:tcMar>
              <w:top w:w="100" w:type="dxa"/>
              <w:bottom w:w="100" w:type="dxa"/>
              <w:left w:w="150" w:type="dxa"/>
              <w:right w:w="150" w:type="dxa"/>
            </w:tcMar>
          </w:tcPr>
          <w:p>
            <w:pPr>
              <w:jc w:val="left"/>
            </w:pPr>
            <w:r>
              <w:rPr>
                <w:rFonts w:ascii="Calibri" w:hAnsi="Calibri"/>
                <w:color w:val="2C3E50"/>
                <w:sz w:val="19"/>
              </w:rPr>
              <w:t>Mean Absolute Error (MAE)</w:t>
            </w:r>
          </w:p>
        </w:tc>
        <w:tc>
          <w:tcPr>
            <w:tcW w:type="dxa" w:w="2016"/>
            <w:shd w:fill="FFFFFF"/>
            <w:tcMar>
              <w:top w:w="100" w:type="dxa"/>
              <w:bottom w:w="100" w:type="dxa"/>
              <w:left w:w="150" w:type="dxa"/>
              <w:right w:w="150" w:type="dxa"/>
            </w:tcMar>
          </w:tcPr>
          <w:p>
            <w:pPr>
              <w:jc w:val="center"/>
            </w:pPr>
            <w:r>
              <w:rPr>
                <w:rFonts w:ascii="Calibri" w:hAnsi="Calibri"/>
                <w:color w:val="2C3E50"/>
                <w:sz w:val="19"/>
              </w:rPr>
              <w:t>0.4623</w:t>
            </w:r>
          </w:p>
        </w:tc>
        <w:tc>
          <w:tcPr>
            <w:tcW w:type="dxa" w:w="3744"/>
            <w:shd w:fill="FFFFFF"/>
            <w:tcMar>
              <w:top w:w="100" w:type="dxa"/>
              <w:bottom w:w="100" w:type="dxa"/>
              <w:left w:w="150" w:type="dxa"/>
              <w:right w:w="150" w:type="dxa"/>
            </w:tcMar>
          </w:tcPr>
          <w:p>
            <w:pPr>
              <w:jc w:val="left"/>
            </w:pPr>
            <w:r>
              <w:rPr>
                <w:rFonts w:ascii="Calibri" w:hAnsi="Calibri"/>
                <w:color w:val="2C3E50"/>
                <w:sz w:val="19"/>
              </w:rPr>
              <w:t>Average absolute error across predictions is under half a category</w:t>
            </w:r>
          </w:p>
        </w:tc>
      </w:tr>
      <w:tr>
        <w:tc>
          <w:tcPr>
            <w:tcW w:type="dxa" w:w="3600"/>
            <w:shd w:fill="F8F9FA"/>
            <w:tcMar>
              <w:top w:w="100" w:type="dxa"/>
              <w:bottom w:w="100" w:type="dxa"/>
              <w:left w:w="150" w:type="dxa"/>
              <w:right w:w="150" w:type="dxa"/>
            </w:tcMar>
          </w:tcPr>
          <w:p>
            <w:pPr>
              <w:jc w:val="left"/>
            </w:pPr>
            <w:r>
              <w:rPr>
                <w:rFonts w:ascii="Calibri" w:hAnsi="Calibri"/>
                <w:color w:val="2C3E50"/>
                <w:sz w:val="19"/>
              </w:rPr>
              <w:t>Rounded Classification Accuracy</w:t>
            </w:r>
          </w:p>
        </w:tc>
        <w:tc>
          <w:tcPr>
            <w:tcW w:type="dxa" w:w="2016"/>
            <w:shd w:fill="F8F9FA"/>
            <w:tcMar>
              <w:top w:w="100" w:type="dxa"/>
              <w:bottom w:w="100" w:type="dxa"/>
              <w:left w:w="150" w:type="dxa"/>
              <w:right w:w="150" w:type="dxa"/>
            </w:tcMar>
          </w:tcPr>
          <w:p>
            <w:pPr>
              <w:jc w:val="center"/>
            </w:pPr>
            <w:r>
              <w:rPr>
                <w:rFonts w:ascii="Calibri" w:hAnsi="Calibri"/>
                <w:color w:val="2C3E50"/>
                <w:sz w:val="19"/>
              </w:rPr>
              <w:t>57.40%</w:t>
            </w:r>
          </w:p>
        </w:tc>
        <w:tc>
          <w:tcPr>
            <w:tcW w:type="dxa" w:w="3744"/>
            <w:shd w:fill="F8F9FA"/>
            <w:tcMar>
              <w:top w:w="100" w:type="dxa"/>
              <w:bottom w:w="100" w:type="dxa"/>
              <w:left w:w="150" w:type="dxa"/>
              <w:right w:w="150" w:type="dxa"/>
            </w:tcMar>
          </w:tcPr>
          <w:p>
            <w:pPr>
              <w:jc w:val="left"/>
            </w:pPr>
            <w:r>
              <w:rPr>
                <w:rFonts w:ascii="Calibri" w:hAnsi="Calibri"/>
                <w:color w:val="2C3E50"/>
                <w:sz w:val="19"/>
              </w:rPr>
              <w:t>Continuous predictions rounded to nearest integer cohort {0, 1, 2}</w:t>
            </w:r>
          </w:p>
        </w:tc>
      </w:tr>
      <w:tr>
        <w:tc>
          <w:tcPr>
            <w:tcW w:type="dxa" w:w="3600"/>
            <w:shd w:fill="FFFFFF"/>
            <w:tcMar>
              <w:top w:w="100" w:type="dxa"/>
              <w:bottom w:w="100" w:type="dxa"/>
              <w:left w:w="150" w:type="dxa"/>
              <w:right w:w="150" w:type="dxa"/>
            </w:tcMar>
          </w:tcPr>
          <w:p>
            <w:pPr>
              <w:jc w:val="left"/>
            </w:pPr>
            <w:r>
              <w:rPr>
                <w:rFonts w:ascii="Calibri" w:hAnsi="Calibri"/>
                <w:color w:val="2C3E50"/>
                <w:sz w:val="19"/>
              </w:rPr>
              <w:t>Balanced Accuracy</w:t>
            </w:r>
          </w:p>
        </w:tc>
        <w:tc>
          <w:tcPr>
            <w:tcW w:type="dxa" w:w="2016"/>
            <w:shd w:fill="FFFFFF"/>
            <w:tcMar>
              <w:top w:w="100" w:type="dxa"/>
              <w:bottom w:w="100" w:type="dxa"/>
              <w:left w:w="150" w:type="dxa"/>
              <w:right w:w="150" w:type="dxa"/>
            </w:tcMar>
          </w:tcPr>
          <w:p>
            <w:pPr>
              <w:jc w:val="center"/>
            </w:pPr>
            <w:r>
              <w:rPr>
                <w:rFonts w:ascii="Calibri" w:hAnsi="Calibri"/>
                <w:color w:val="2C3E50"/>
                <w:sz w:val="19"/>
              </w:rPr>
              <w:t>38.74%</w:t>
            </w:r>
          </w:p>
        </w:tc>
        <w:tc>
          <w:tcPr>
            <w:tcW w:type="dxa" w:w="3744"/>
            <w:shd w:fill="FFFFFF"/>
            <w:tcMar>
              <w:top w:w="100" w:type="dxa"/>
              <w:bottom w:w="100" w:type="dxa"/>
              <w:left w:w="150" w:type="dxa"/>
              <w:right w:w="150" w:type="dxa"/>
            </w:tcMar>
          </w:tcPr>
          <w:p>
            <w:pPr>
              <w:jc w:val="left"/>
            </w:pPr>
            <w:r>
              <w:rPr>
                <w:rFonts w:ascii="Calibri" w:hAnsi="Calibri"/>
                <w:color w:val="2C3E50"/>
                <w:sz w:val="19"/>
              </w:rPr>
              <w:t>Skewed toward majority class due to unweighted linear loss</w:t>
            </w:r>
          </w:p>
        </w:tc>
      </w:tr>
      <w:tr>
        <w:tc>
          <w:tcPr>
            <w:tcW w:type="dxa" w:w="3600"/>
            <w:shd w:fill="F8F9FA"/>
            <w:tcMar>
              <w:top w:w="100" w:type="dxa"/>
              <w:bottom w:w="100" w:type="dxa"/>
              <w:left w:w="150" w:type="dxa"/>
              <w:right w:w="150" w:type="dxa"/>
            </w:tcMar>
          </w:tcPr>
          <w:p>
            <w:pPr>
              <w:jc w:val="left"/>
            </w:pPr>
            <w:r>
              <w:rPr>
                <w:rFonts w:ascii="Calibri" w:hAnsi="Calibri"/>
                <w:color w:val="2C3E50"/>
                <w:sz w:val="19"/>
              </w:rPr>
              <w:t>Macro F1-Score</w:t>
            </w:r>
          </w:p>
        </w:tc>
        <w:tc>
          <w:tcPr>
            <w:tcW w:type="dxa" w:w="2016"/>
            <w:shd w:fill="F8F9FA"/>
            <w:tcMar>
              <w:top w:w="100" w:type="dxa"/>
              <w:bottom w:w="100" w:type="dxa"/>
              <w:left w:w="150" w:type="dxa"/>
              <w:right w:w="150" w:type="dxa"/>
            </w:tcMar>
          </w:tcPr>
          <w:p>
            <w:pPr>
              <w:jc w:val="center"/>
            </w:pPr>
            <w:r>
              <w:rPr>
                <w:rFonts w:ascii="Calibri" w:hAnsi="Calibri"/>
                <w:color w:val="2C3E50"/>
                <w:sz w:val="19"/>
              </w:rPr>
              <w:t>0.3581</w:t>
            </w:r>
          </w:p>
        </w:tc>
        <w:tc>
          <w:tcPr>
            <w:tcW w:type="dxa" w:w="3744"/>
            <w:shd w:fill="F8F9FA"/>
            <w:tcMar>
              <w:top w:w="100" w:type="dxa"/>
              <w:bottom w:w="100" w:type="dxa"/>
              <w:left w:w="150" w:type="dxa"/>
              <w:right w:w="150" w:type="dxa"/>
            </w:tcMar>
          </w:tcPr>
          <w:p>
            <w:pPr>
              <w:jc w:val="left"/>
            </w:pPr>
            <w:r>
              <w:rPr>
                <w:rFonts w:ascii="Calibri" w:hAnsi="Calibri"/>
                <w:color w:val="2C3E50"/>
                <w:sz w:val="19"/>
              </w:rPr>
              <w:t>Harmonic mean of precision and recall across all three classes</w:t>
            </w:r>
          </w:p>
        </w:tc>
      </w:tr>
    </w:tbl>
    <w:p>
      <w:pPr>
        <w:spacing w:after="120"/>
      </w:pPr>
    </w:p>
    <w:p>
      <w:pPr>
        <w:jc w:val="center"/>
      </w:pPr>
    </w:p>
    <w:p>
      <w:r>
        <w:drawing>
          <wp:inline xmlns:a="http://schemas.openxmlformats.org/drawingml/2006/main" xmlns:pic="http://schemas.openxmlformats.org/drawingml/2006/picture">
            <wp:extent cx="5669280" cy="1916951"/>
            <wp:docPr id="3" name="Picture 3"/>
            <wp:cNvGraphicFramePr>
              <a:graphicFrameLocks noChangeAspect="1"/>
            </wp:cNvGraphicFramePr>
            <a:graphic>
              <a:graphicData uri="http://schemas.openxmlformats.org/drawingml/2006/picture">
                <pic:pic>
                  <pic:nvPicPr>
                    <pic:cNvPr id="0" name="graph3_regression_analysis.png"/>
                    <pic:cNvPicPr/>
                  </pic:nvPicPr>
                  <pic:blipFill>
                    <a:blip r:embed="rId11"/>
                    <a:stretch>
                      <a:fillRect/>
                    </a:stretch>
                  </pic:blipFill>
                  <pic:spPr>
                    <a:xfrm>
                      <a:off x="0" y="0"/>
                      <a:ext cx="5669280" cy="1916951"/>
                    </a:xfrm>
                    <a:prstGeom prst="rect"/>
                  </pic:spPr>
                </pic:pic>
              </a:graphicData>
            </a:graphic>
          </wp:inline>
        </w:drawing>
      </w:r>
    </w:p>
    <w:p>
      <w:pPr>
        <w:spacing w:before="80" w:after="240"/>
        <w:jc w:val="center"/>
      </w:pPr>
      <w:r>
        <w:rPr>
          <w:rFonts w:ascii="Calibri" w:hAnsi="Calibri"/>
          <w:b/>
          <w:color w:val="1B365D"/>
          <w:sz w:val="19"/>
        </w:rPr>
        <w:t xml:space="preserve">Figure 3: </w:t>
      </w:r>
      <w:r>
        <w:rPr>
          <w:rFonts w:ascii="Calibri" w:hAnsi="Calibri"/>
          <w:i/>
          <w:color w:val="646E78"/>
          <w:sz w:val="19"/>
        </w:rPr>
        <w:t>Ordinal Ridge Regression: Actual vs. Continuous Predicted Values (Left) and Residual Error Distribution (Right).</w:t>
      </w:r>
    </w:p>
    <w:p>
      <w:pPr>
        <w:jc w:val="center"/>
      </w:pPr>
    </w:p>
    <w:p>
      <w:r>
        <w:drawing>
          <wp:inline xmlns:a="http://schemas.openxmlformats.org/drawingml/2006/main" xmlns:pic="http://schemas.openxmlformats.org/drawingml/2006/picture">
            <wp:extent cx="4114800" cy="3150394"/>
            <wp:docPr id="4" name="Picture 4"/>
            <wp:cNvGraphicFramePr>
              <a:graphicFrameLocks noChangeAspect="1"/>
            </wp:cNvGraphicFramePr>
            <a:graphic>
              <a:graphicData uri="http://schemas.openxmlformats.org/drawingml/2006/picture">
                <pic:pic>
                  <pic:nvPicPr>
                    <pic:cNvPr id="0" name="graph4_regression_confusion_matrix.png"/>
                    <pic:cNvPicPr/>
                  </pic:nvPicPr>
                  <pic:blipFill>
                    <a:blip r:embed="rId12"/>
                    <a:stretch>
                      <a:fillRect/>
                    </a:stretch>
                  </pic:blipFill>
                  <pic:spPr>
                    <a:xfrm>
                      <a:off x="0" y="0"/>
                      <a:ext cx="4114800" cy="3150394"/>
                    </a:xfrm>
                    <a:prstGeom prst="rect"/>
                  </pic:spPr>
                </pic:pic>
              </a:graphicData>
            </a:graphic>
          </wp:inline>
        </w:drawing>
      </w:r>
    </w:p>
    <w:p>
      <w:pPr>
        <w:spacing w:before="80" w:after="240"/>
        <w:jc w:val="center"/>
      </w:pPr>
      <w:r>
        <w:rPr>
          <w:rFonts w:ascii="Calibri" w:hAnsi="Calibri"/>
          <w:b/>
          <w:color w:val="1B365D"/>
          <w:sz w:val="19"/>
        </w:rPr>
        <w:t xml:space="preserve">Figure 4: </w:t>
      </w:r>
      <w:r>
        <w:rPr>
          <w:rFonts w:ascii="Calibri" w:hAnsi="Calibri"/>
          <w:i/>
          <w:color w:val="646E78"/>
          <w:sz w:val="19"/>
        </w:rPr>
        <w:t>Rounded Ordinal Regression Confusion Matrix on 500 Test Samples.</w:t>
      </w:r>
    </w:p>
    <w:p>
      <w:pPr>
        <w:pStyle w:val="Heading1"/>
      </w:pPr>
      <w:r>
        <w:rPr>
          <w:color w:val="1B365D"/>
          <w:sz w:val="32"/>
        </w:rPr>
        <w:t>5. Model 2: Balanced Random Forest Classifier</w:t>
      </w:r>
    </w:p>
    <w:p>
      <w:pPr>
        <w:spacing w:after="160"/>
      </w:pPr>
      <w:r>
        <w:t>To capture non-linear relationships and interactions between Eigenface components, we trained an ensemble of 150 decision trees. To neutralize the majority-class bias, we enforced cost-sensitive balanced weighting: each sample of class j is assigned weight w_j inversely proportional to its class frequency:</w:t>
        <w:br/>
        <w:t xml:space="preserve">    w_j = N / (K * N_j)</w:t>
        <w:br/>
        <w:t>This penalizes mistakes on the rare 'OLD' class significantly more heavily than mistakes on 'MIDDLE'.</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B365D"/>
            <w:tcMar>
              <w:top w:w="140" w:type="dxa"/>
              <w:bottom w:w="140" w:type="dxa"/>
              <w:left w:w="180" w:type="dxa"/>
              <w:right w:w="180" w:type="dxa"/>
            </w:tcMar>
          </w:tcPr>
          <w:p>
            <w:pPr>
              <w:jc w:val="center"/>
            </w:pPr>
            <w:r>
              <w:rPr>
                <w:rFonts w:ascii="Calibri" w:hAnsi="Calibri"/>
                <w:b/>
                <w:color w:val="FFFFFF"/>
                <w:sz w:val="21"/>
              </w:rPr>
              <w:t>Cohort Class</w:t>
            </w:r>
          </w:p>
        </w:tc>
        <w:tc>
          <w:tcPr>
            <w:tcW w:type="dxa" w:w="1728"/>
            <w:shd w:fill="1B365D"/>
            <w:tcMar>
              <w:top w:w="140" w:type="dxa"/>
              <w:bottom w:w="140" w:type="dxa"/>
              <w:left w:w="180" w:type="dxa"/>
              <w:right w:w="180" w:type="dxa"/>
            </w:tcMar>
          </w:tcPr>
          <w:p>
            <w:pPr>
              <w:jc w:val="center"/>
            </w:pPr>
            <w:r>
              <w:rPr>
                <w:rFonts w:ascii="Calibri" w:hAnsi="Calibri"/>
                <w:b/>
                <w:color w:val="FFFFFF"/>
                <w:sz w:val="21"/>
              </w:rPr>
              <w:t>Precision</w:t>
            </w:r>
          </w:p>
        </w:tc>
        <w:tc>
          <w:tcPr>
            <w:tcW w:type="dxa" w:w="1728"/>
            <w:shd w:fill="1B365D"/>
            <w:tcMar>
              <w:top w:w="140" w:type="dxa"/>
              <w:bottom w:w="140" w:type="dxa"/>
              <w:left w:w="180" w:type="dxa"/>
              <w:right w:w="180" w:type="dxa"/>
            </w:tcMar>
          </w:tcPr>
          <w:p>
            <w:pPr>
              <w:jc w:val="center"/>
            </w:pPr>
            <w:r>
              <w:rPr>
                <w:rFonts w:ascii="Calibri" w:hAnsi="Calibri"/>
                <w:b/>
                <w:color w:val="FFFFFF"/>
                <w:sz w:val="21"/>
              </w:rPr>
              <w:t>Recall</w:t>
            </w:r>
          </w:p>
        </w:tc>
        <w:tc>
          <w:tcPr>
            <w:tcW w:type="dxa" w:w="1728"/>
            <w:shd w:fill="1B365D"/>
            <w:tcMar>
              <w:top w:w="140" w:type="dxa"/>
              <w:bottom w:w="140" w:type="dxa"/>
              <w:left w:w="180" w:type="dxa"/>
              <w:right w:w="180" w:type="dxa"/>
            </w:tcMar>
          </w:tcPr>
          <w:p>
            <w:pPr>
              <w:jc w:val="center"/>
            </w:pPr>
            <w:r>
              <w:rPr>
                <w:rFonts w:ascii="Calibri" w:hAnsi="Calibri"/>
                <w:b/>
                <w:color w:val="FFFFFF"/>
                <w:sz w:val="21"/>
              </w:rPr>
              <w:t>F1-Score</w:t>
            </w:r>
          </w:p>
        </w:tc>
        <w:tc>
          <w:tcPr>
            <w:tcW w:type="dxa" w:w="2016"/>
            <w:shd w:fill="1B365D"/>
            <w:tcMar>
              <w:top w:w="140" w:type="dxa"/>
              <w:bottom w:w="140" w:type="dxa"/>
              <w:left w:w="180" w:type="dxa"/>
              <w:right w:w="180" w:type="dxa"/>
            </w:tcMar>
          </w:tcPr>
          <w:p>
            <w:pPr>
              <w:jc w:val="center"/>
            </w:pPr>
            <w:r>
              <w:rPr>
                <w:rFonts w:ascii="Calibri" w:hAnsi="Calibri"/>
                <w:b/>
                <w:color w:val="FFFFFF"/>
                <w:sz w:val="21"/>
              </w:rPr>
              <w:t>Test Support</w:t>
            </w:r>
          </w:p>
        </w:tc>
      </w:tr>
      <w:tr>
        <w:tc>
          <w:tcPr>
            <w:tcW w:type="dxa" w:w="2160"/>
            <w:shd w:fill="FFFFFF"/>
            <w:tcMar>
              <w:top w:w="100" w:type="dxa"/>
              <w:bottom w:w="100" w:type="dxa"/>
              <w:left w:w="150" w:type="dxa"/>
              <w:right w:w="150" w:type="dxa"/>
            </w:tcMar>
          </w:tcPr>
          <w:p>
            <w:pPr>
              <w:jc w:val="left"/>
            </w:pPr>
            <w:r>
              <w:rPr>
                <w:rFonts w:ascii="Calibri" w:hAnsi="Calibri"/>
                <w:color w:val="2C3E50"/>
                <w:sz w:val="19"/>
              </w:rPr>
              <w:t>YOUNG (0)</w:t>
            </w:r>
          </w:p>
        </w:tc>
        <w:tc>
          <w:tcPr>
            <w:tcW w:type="dxa" w:w="1728"/>
            <w:shd w:fill="FFFFFF"/>
            <w:tcMar>
              <w:top w:w="100" w:type="dxa"/>
              <w:bottom w:w="100" w:type="dxa"/>
              <w:left w:w="150" w:type="dxa"/>
              <w:right w:w="150" w:type="dxa"/>
            </w:tcMar>
          </w:tcPr>
          <w:p>
            <w:pPr>
              <w:jc w:val="right"/>
            </w:pPr>
            <w:r>
              <w:rPr>
                <w:rFonts w:ascii="Calibri" w:hAnsi="Calibri"/>
                <w:color w:val="2C3E50"/>
                <w:sz w:val="19"/>
              </w:rPr>
              <w:t>0.56</w:t>
            </w:r>
          </w:p>
        </w:tc>
        <w:tc>
          <w:tcPr>
            <w:tcW w:type="dxa" w:w="1728"/>
            <w:shd w:fill="FFFFFF"/>
            <w:tcMar>
              <w:top w:w="100" w:type="dxa"/>
              <w:bottom w:w="100" w:type="dxa"/>
              <w:left w:w="150" w:type="dxa"/>
              <w:right w:w="150" w:type="dxa"/>
            </w:tcMar>
          </w:tcPr>
          <w:p>
            <w:pPr>
              <w:jc w:val="right"/>
            </w:pPr>
            <w:r>
              <w:rPr>
                <w:rFonts w:ascii="Calibri" w:hAnsi="Calibri"/>
                <w:color w:val="2C3E50"/>
                <w:sz w:val="19"/>
              </w:rPr>
              <w:t>0.56</w:t>
            </w:r>
          </w:p>
        </w:tc>
        <w:tc>
          <w:tcPr>
            <w:tcW w:type="dxa" w:w="1728"/>
            <w:shd w:fill="FFFFFF"/>
            <w:tcMar>
              <w:top w:w="100" w:type="dxa"/>
              <w:bottom w:w="100" w:type="dxa"/>
              <w:left w:w="150" w:type="dxa"/>
              <w:right w:w="150" w:type="dxa"/>
            </w:tcMar>
          </w:tcPr>
          <w:p>
            <w:pPr>
              <w:jc w:val="right"/>
            </w:pPr>
            <w:r>
              <w:rPr>
                <w:rFonts w:ascii="Calibri" w:hAnsi="Calibri"/>
                <w:color w:val="2C3E50"/>
                <w:sz w:val="19"/>
              </w:rPr>
              <w:t>0.56</w:t>
            </w:r>
          </w:p>
        </w:tc>
        <w:tc>
          <w:tcPr>
            <w:tcW w:type="dxa" w:w="2016"/>
            <w:shd w:fill="FFFFFF"/>
            <w:tcMar>
              <w:top w:w="100" w:type="dxa"/>
              <w:bottom w:w="100" w:type="dxa"/>
              <w:left w:w="150" w:type="dxa"/>
              <w:right w:w="150" w:type="dxa"/>
            </w:tcMar>
          </w:tcPr>
          <w:p>
            <w:pPr>
              <w:jc w:val="right"/>
            </w:pPr>
            <w:r>
              <w:rPr>
                <w:rFonts w:ascii="Calibri" w:hAnsi="Calibri"/>
                <w:color w:val="2C3E50"/>
                <w:sz w:val="19"/>
              </w:rPr>
              <w:t>168</w:t>
            </w:r>
          </w:p>
        </w:tc>
      </w:tr>
      <w:tr>
        <w:tc>
          <w:tcPr>
            <w:tcW w:type="dxa" w:w="2160"/>
            <w:shd w:fill="F8F9FA"/>
            <w:tcMar>
              <w:top w:w="100" w:type="dxa"/>
              <w:bottom w:w="100" w:type="dxa"/>
              <w:left w:w="150" w:type="dxa"/>
              <w:right w:w="150" w:type="dxa"/>
            </w:tcMar>
          </w:tcPr>
          <w:p>
            <w:pPr>
              <w:jc w:val="left"/>
            </w:pPr>
            <w:r>
              <w:rPr>
                <w:rFonts w:ascii="Calibri" w:hAnsi="Calibri"/>
                <w:color w:val="2C3E50"/>
                <w:sz w:val="19"/>
              </w:rPr>
              <w:t>MIDDLE (1)</w:t>
            </w:r>
          </w:p>
        </w:tc>
        <w:tc>
          <w:tcPr>
            <w:tcW w:type="dxa" w:w="1728"/>
            <w:shd w:fill="F8F9FA"/>
            <w:tcMar>
              <w:top w:w="100" w:type="dxa"/>
              <w:bottom w:w="100" w:type="dxa"/>
              <w:left w:w="150" w:type="dxa"/>
              <w:right w:w="150" w:type="dxa"/>
            </w:tcMar>
          </w:tcPr>
          <w:p>
            <w:pPr>
              <w:jc w:val="right"/>
            </w:pPr>
            <w:r>
              <w:rPr>
                <w:rFonts w:ascii="Calibri" w:hAnsi="Calibri"/>
                <w:color w:val="2C3E50"/>
                <w:sz w:val="19"/>
              </w:rPr>
              <w:t>0.63</w:t>
            </w:r>
          </w:p>
        </w:tc>
        <w:tc>
          <w:tcPr>
            <w:tcW w:type="dxa" w:w="1728"/>
            <w:shd w:fill="F8F9FA"/>
            <w:tcMar>
              <w:top w:w="100" w:type="dxa"/>
              <w:bottom w:w="100" w:type="dxa"/>
              <w:left w:w="150" w:type="dxa"/>
              <w:right w:w="150" w:type="dxa"/>
            </w:tcMar>
          </w:tcPr>
          <w:p>
            <w:pPr>
              <w:jc w:val="right"/>
            </w:pPr>
            <w:r>
              <w:rPr>
                <w:rFonts w:ascii="Calibri" w:hAnsi="Calibri"/>
                <w:color w:val="2C3E50"/>
                <w:sz w:val="19"/>
              </w:rPr>
              <w:t>0.60</w:t>
            </w:r>
          </w:p>
        </w:tc>
        <w:tc>
          <w:tcPr>
            <w:tcW w:type="dxa" w:w="1728"/>
            <w:shd w:fill="F8F9FA"/>
            <w:tcMar>
              <w:top w:w="100" w:type="dxa"/>
              <w:bottom w:w="100" w:type="dxa"/>
              <w:left w:w="150" w:type="dxa"/>
              <w:right w:w="150" w:type="dxa"/>
            </w:tcMar>
          </w:tcPr>
          <w:p>
            <w:pPr>
              <w:jc w:val="right"/>
            </w:pPr>
            <w:r>
              <w:rPr>
                <w:rFonts w:ascii="Calibri" w:hAnsi="Calibri"/>
                <w:color w:val="2C3E50"/>
                <w:sz w:val="19"/>
              </w:rPr>
              <w:t>0.62</w:t>
            </w:r>
          </w:p>
        </w:tc>
        <w:tc>
          <w:tcPr>
            <w:tcW w:type="dxa" w:w="2016"/>
            <w:shd w:fill="F8F9FA"/>
            <w:tcMar>
              <w:top w:w="100" w:type="dxa"/>
              <w:bottom w:w="100" w:type="dxa"/>
              <w:left w:w="150" w:type="dxa"/>
              <w:right w:w="150" w:type="dxa"/>
            </w:tcMar>
          </w:tcPr>
          <w:p>
            <w:pPr>
              <w:jc w:val="right"/>
            </w:pPr>
            <w:r>
              <w:rPr>
                <w:rFonts w:ascii="Calibri" w:hAnsi="Calibri"/>
                <w:color w:val="2C3E50"/>
                <w:sz w:val="19"/>
              </w:rPr>
              <w:t>272</w:t>
            </w:r>
          </w:p>
        </w:tc>
      </w:tr>
      <w:tr>
        <w:tc>
          <w:tcPr>
            <w:tcW w:type="dxa" w:w="2160"/>
            <w:shd w:fill="FFFFFF"/>
            <w:tcMar>
              <w:top w:w="100" w:type="dxa"/>
              <w:bottom w:w="100" w:type="dxa"/>
              <w:left w:w="150" w:type="dxa"/>
              <w:right w:w="150" w:type="dxa"/>
            </w:tcMar>
          </w:tcPr>
          <w:p>
            <w:pPr>
              <w:jc w:val="left"/>
            </w:pPr>
            <w:r>
              <w:rPr>
                <w:rFonts w:ascii="Calibri" w:hAnsi="Calibri"/>
                <w:color w:val="2C3E50"/>
                <w:sz w:val="19"/>
              </w:rPr>
              <w:t>OLD (2)</w:t>
            </w:r>
          </w:p>
        </w:tc>
        <w:tc>
          <w:tcPr>
            <w:tcW w:type="dxa" w:w="1728"/>
            <w:shd w:fill="FFFFFF"/>
            <w:tcMar>
              <w:top w:w="100" w:type="dxa"/>
              <w:bottom w:w="100" w:type="dxa"/>
              <w:left w:w="150" w:type="dxa"/>
              <w:right w:w="150" w:type="dxa"/>
            </w:tcMar>
          </w:tcPr>
          <w:p>
            <w:pPr>
              <w:jc w:val="right"/>
            </w:pPr>
            <w:r>
              <w:rPr>
                <w:rFonts w:ascii="Calibri" w:hAnsi="Calibri"/>
                <w:color w:val="2C3E50"/>
                <w:sz w:val="19"/>
              </w:rPr>
              <w:t>0.29</w:t>
            </w:r>
          </w:p>
        </w:tc>
        <w:tc>
          <w:tcPr>
            <w:tcW w:type="dxa" w:w="1728"/>
            <w:shd w:fill="FFFFFF"/>
            <w:tcMar>
              <w:top w:w="100" w:type="dxa"/>
              <w:bottom w:w="100" w:type="dxa"/>
              <w:left w:w="150" w:type="dxa"/>
              <w:right w:w="150" w:type="dxa"/>
            </w:tcMar>
          </w:tcPr>
          <w:p>
            <w:pPr>
              <w:jc w:val="right"/>
            </w:pPr>
            <w:r>
              <w:rPr>
                <w:rFonts w:ascii="Calibri" w:hAnsi="Calibri"/>
                <w:color w:val="2C3E50"/>
                <w:sz w:val="19"/>
              </w:rPr>
              <w:t>0.35</w:t>
            </w:r>
          </w:p>
        </w:tc>
        <w:tc>
          <w:tcPr>
            <w:tcW w:type="dxa" w:w="1728"/>
            <w:shd w:fill="FFFFFF"/>
            <w:tcMar>
              <w:top w:w="100" w:type="dxa"/>
              <w:bottom w:w="100" w:type="dxa"/>
              <w:left w:w="150" w:type="dxa"/>
              <w:right w:w="150" w:type="dxa"/>
            </w:tcMar>
          </w:tcPr>
          <w:p>
            <w:pPr>
              <w:jc w:val="right"/>
            </w:pPr>
            <w:r>
              <w:rPr>
                <w:rFonts w:ascii="Calibri" w:hAnsi="Calibri"/>
                <w:color w:val="2C3E50"/>
                <w:sz w:val="19"/>
              </w:rPr>
              <w:t>0.32</w:t>
            </w:r>
          </w:p>
        </w:tc>
        <w:tc>
          <w:tcPr>
            <w:tcW w:type="dxa" w:w="2016"/>
            <w:shd w:fill="FFFFFF"/>
            <w:tcMar>
              <w:top w:w="100" w:type="dxa"/>
              <w:bottom w:w="100" w:type="dxa"/>
              <w:left w:w="150" w:type="dxa"/>
              <w:right w:w="150" w:type="dxa"/>
            </w:tcMar>
          </w:tcPr>
          <w:p>
            <w:pPr>
              <w:jc w:val="right"/>
            </w:pPr>
            <w:r>
              <w:rPr>
                <w:rFonts w:ascii="Calibri" w:hAnsi="Calibri"/>
                <w:color w:val="2C3E50"/>
                <w:sz w:val="19"/>
              </w:rPr>
              <w:t>60</w:t>
            </w:r>
          </w:p>
        </w:tc>
      </w:tr>
      <w:tr>
        <w:tc>
          <w:tcPr>
            <w:tcW w:type="dxa" w:w="2160"/>
            <w:shd w:fill="F8F9FA"/>
            <w:tcMar>
              <w:top w:w="100" w:type="dxa"/>
              <w:bottom w:w="100" w:type="dxa"/>
              <w:left w:w="150" w:type="dxa"/>
              <w:right w:w="150" w:type="dxa"/>
            </w:tcMar>
          </w:tcPr>
          <w:p>
            <w:pPr>
              <w:jc w:val="left"/>
            </w:pPr>
            <w:r>
              <w:rPr>
                <w:rFonts w:ascii="Calibri" w:hAnsi="Calibri"/>
                <w:color w:val="2C3E50"/>
                <w:sz w:val="19"/>
              </w:rPr>
              <w:t>Macro Average</w:t>
            </w:r>
          </w:p>
        </w:tc>
        <w:tc>
          <w:tcPr>
            <w:tcW w:type="dxa" w:w="1728"/>
            <w:shd w:fill="F8F9FA"/>
            <w:tcMar>
              <w:top w:w="100" w:type="dxa"/>
              <w:bottom w:w="100" w:type="dxa"/>
              <w:left w:w="150" w:type="dxa"/>
              <w:right w:w="150" w:type="dxa"/>
            </w:tcMar>
          </w:tcPr>
          <w:p>
            <w:pPr>
              <w:jc w:val="right"/>
            </w:pPr>
            <w:r>
              <w:rPr>
                <w:rFonts w:ascii="Calibri" w:hAnsi="Calibri"/>
                <w:color w:val="2C3E50"/>
                <w:sz w:val="19"/>
              </w:rPr>
              <w:t>0.49</w:t>
            </w:r>
          </w:p>
        </w:tc>
        <w:tc>
          <w:tcPr>
            <w:tcW w:type="dxa" w:w="1728"/>
            <w:shd w:fill="F8F9FA"/>
            <w:tcMar>
              <w:top w:w="100" w:type="dxa"/>
              <w:bottom w:w="100" w:type="dxa"/>
              <w:left w:w="150" w:type="dxa"/>
              <w:right w:w="150" w:type="dxa"/>
            </w:tcMar>
          </w:tcPr>
          <w:p>
            <w:pPr>
              <w:jc w:val="right"/>
            </w:pPr>
            <w:r>
              <w:rPr>
                <w:rFonts w:ascii="Calibri" w:hAnsi="Calibri"/>
                <w:color w:val="2C3E50"/>
                <w:sz w:val="19"/>
              </w:rPr>
              <w:t>0.50</w:t>
            </w:r>
          </w:p>
        </w:tc>
        <w:tc>
          <w:tcPr>
            <w:tcW w:type="dxa" w:w="1728"/>
            <w:shd w:fill="F8F9FA"/>
            <w:tcMar>
              <w:top w:w="100" w:type="dxa"/>
              <w:bottom w:w="100" w:type="dxa"/>
              <w:left w:w="150" w:type="dxa"/>
              <w:right w:w="150" w:type="dxa"/>
            </w:tcMar>
          </w:tcPr>
          <w:p>
            <w:pPr>
              <w:jc w:val="right"/>
            </w:pPr>
            <w:r>
              <w:rPr>
                <w:rFonts w:ascii="Calibri" w:hAnsi="Calibri"/>
                <w:color w:val="2C3E50"/>
                <w:sz w:val="19"/>
              </w:rPr>
              <w:t>0.50</w:t>
            </w:r>
          </w:p>
        </w:tc>
        <w:tc>
          <w:tcPr>
            <w:tcW w:type="dxa" w:w="2016"/>
            <w:shd w:fill="F8F9FA"/>
            <w:tcMar>
              <w:top w:w="100" w:type="dxa"/>
              <w:bottom w:w="100" w:type="dxa"/>
              <w:left w:w="150" w:type="dxa"/>
              <w:right w:w="150" w:type="dxa"/>
            </w:tcMar>
          </w:tcPr>
          <w:p>
            <w:pPr>
              <w:jc w:val="right"/>
            </w:pPr>
            <w:r>
              <w:rPr>
                <w:rFonts w:ascii="Calibri" w:hAnsi="Calibri"/>
                <w:color w:val="2C3E50"/>
                <w:sz w:val="19"/>
              </w:rPr>
              <w:t>500</w:t>
            </w:r>
          </w:p>
        </w:tc>
      </w:tr>
      <w:tr>
        <w:tc>
          <w:tcPr>
            <w:tcW w:type="dxa" w:w="2160"/>
            <w:shd w:fill="FFFFFF"/>
            <w:tcMar>
              <w:top w:w="100" w:type="dxa"/>
              <w:bottom w:w="100" w:type="dxa"/>
              <w:left w:w="150" w:type="dxa"/>
              <w:right w:w="150" w:type="dxa"/>
            </w:tcMar>
          </w:tcPr>
          <w:p>
            <w:pPr>
              <w:jc w:val="left"/>
            </w:pPr>
            <w:r>
              <w:rPr>
                <w:rFonts w:ascii="Calibri" w:hAnsi="Calibri"/>
                <w:color w:val="2C3E50"/>
                <w:sz w:val="19"/>
              </w:rPr>
              <w:t>Weighted Average</w:t>
            </w:r>
          </w:p>
        </w:tc>
        <w:tc>
          <w:tcPr>
            <w:tcW w:type="dxa" w:w="1728"/>
            <w:shd w:fill="FFFFFF"/>
            <w:tcMar>
              <w:top w:w="100" w:type="dxa"/>
              <w:bottom w:w="100" w:type="dxa"/>
              <w:left w:w="150" w:type="dxa"/>
              <w:right w:w="150" w:type="dxa"/>
            </w:tcMar>
          </w:tcPr>
          <w:p>
            <w:pPr>
              <w:jc w:val="right"/>
            </w:pPr>
            <w:r>
              <w:rPr>
                <w:rFonts w:ascii="Calibri" w:hAnsi="Calibri"/>
                <w:color w:val="2C3E50"/>
                <w:sz w:val="19"/>
              </w:rPr>
              <w:t>0.57</w:t>
            </w:r>
          </w:p>
        </w:tc>
        <w:tc>
          <w:tcPr>
            <w:tcW w:type="dxa" w:w="1728"/>
            <w:shd w:fill="FFFFFF"/>
            <w:tcMar>
              <w:top w:w="100" w:type="dxa"/>
              <w:bottom w:w="100" w:type="dxa"/>
              <w:left w:w="150" w:type="dxa"/>
              <w:right w:w="150" w:type="dxa"/>
            </w:tcMar>
          </w:tcPr>
          <w:p>
            <w:pPr>
              <w:jc w:val="right"/>
            </w:pPr>
            <w:r>
              <w:rPr>
                <w:rFonts w:ascii="Calibri" w:hAnsi="Calibri"/>
                <w:color w:val="2C3E50"/>
                <w:sz w:val="19"/>
              </w:rPr>
              <w:t>0.56</w:t>
            </w:r>
          </w:p>
        </w:tc>
        <w:tc>
          <w:tcPr>
            <w:tcW w:type="dxa" w:w="1728"/>
            <w:shd w:fill="FFFFFF"/>
            <w:tcMar>
              <w:top w:w="100" w:type="dxa"/>
              <w:bottom w:w="100" w:type="dxa"/>
              <w:left w:w="150" w:type="dxa"/>
              <w:right w:w="150" w:type="dxa"/>
            </w:tcMar>
          </w:tcPr>
          <w:p>
            <w:pPr>
              <w:jc w:val="right"/>
            </w:pPr>
            <w:r>
              <w:rPr>
                <w:rFonts w:ascii="Calibri" w:hAnsi="Calibri"/>
                <w:color w:val="2C3E50"/>
                <w:sz w:val="19"/>
              </w:rPr>
              <w:t>0.56</w:t>
            </w:r>
          </w:p>
        </w:tc>
        <w:tc>
          <w:tcPr>
            <w:tcW w:type="dxa" w:w="2016"/>
            <w:shd w:fill="FFFFFF"/>
            <w:tcMar>
              <w:top w:w="100" w:type="dxa"/>
              <w:bottom w:w="100" w:type="dxa"/>
              <w:left w:w="150" w:type="dxa"/>
              <w:right w:w="150" w:type="dxa"/>
            </w:tcMar>
          </w:tcPr>
          <w:p>
            <w:pPr>
              <w:jc w:val="right"/>
            </w:pPr>
            <w:r>
              <w:rPr>
                <w:rFonts w:ascii="Calibri" w:hAnsi="Calibri"/>
                <w:color w:val="2C3E50"/>
                <w:sz w:val="19"/>
              </w:rPr>
              <w:t>500</w:t>
            </w:r>
          </w:p>
        </w:tc>
      </w:tr>
    </w:tbl>
    <w:p>
      <w:pPr>
        <w:spacing w:after="120"/>
      </w:pPr>
    </w:p>
    <w:p>
      <w:pPr>
        <w:jc w:val="center"/>
      </w:pPr>
    </w:p>
    <w:p>
      <w:r>
        <w:drawing>
          <wp:inline xmlns:a="http://schemas.openxmlformats.org/drawingml/2006/main" xmlns:pic="http://schemas.openxmlformats.org/drawingml/2006/picture">
            <wp:extent cx="4114800" cy="3150394"/>
            <wp:docPr id="5" name="Picture 5"/>
            <wp:cNvGraphicFramePr>
              <a:graphicFrameLocks noChangeAspect="1"/>
            </wp:cNvGraphicFramePr>
            <a:graphic>
              <a:graphicData uri="http://schemas.openxmlformats.org/drawingml/2006/picture">
                <pic:pic>
                  <pic:nvPicPr>
                    <pic:cNvPr id="0" name="graph2_rf_confusion_matrix.png"/>
                    <pic:cNvPicPr/>
                  </pic:nvPicPr>
                  <pic:blipFill>
                    <a:blip r:embed="rId13"/>
                    <a:stretch>
                      <a:fillRect/>
                    </a:stretch>
                  </pic:blipFill>
                  <pic:spPr>
                    <a:xfrm>
                      <a:off x="0" y="0"/>
                      <a:ext cx="4114800" cy="3150394"/>
                    </a:xfrm>
                    <a:prstGeom prst="rect"/>
                  </pic:spPr>
                </pic:pic>
              </a:graphicData>
            </a:graphic>
          </wp:inline>
        </w:drawing>
      </w:r>
    </w:p>
    <w:p>
      <w:pPr>
        <w:spacing w:before="80" w:after="240"/>
        <w:jc w:val="center"/>
      </w:pPr>
      <w:r>
        <w:rPr>
          <w:rFonts w:ascii="Calibri" w:hAnsi="Calibri"/>
          <w:b/>
          <w:color w:val="1B365D"/>
          <w:sz w:val="19"/>
        </w:rPr>
        <w:t xml:space="preserve">Figure 5: </w:t>
      </w:r>
      <w:r>
        <w:rPr>
          <w:rFonts w:ascii="Calibri" w:hAnsi="Calibri"/>
          <w:i/>
          <w:color w:val="646E78"/>
          <w:sz w:val="19"/>
        </w:rPr>
        <w:t>Balanced Random Forest Confusion Matrix illustrating positive recall across all 3 cohorts.</w:t>
      </w:r>
    </w:p>
    <w:p>
      <w:pPr>
        <w:pStyle w:val="Heading1"/>
      </w:pPr>
      <w:r>
        <w:rPr>
          <w:color w:val="1B365D"/>
          <w:sz w:val="32"/>
        </w:rPr>
        <w:t>6. Model 3: Deep Convolutional Neural Network (CNN)</w:t>
      </w:r>
    </w:p>
    <w:p>
      <w:pPr>
        <w:spacing w:after="160"/>
      </w:pPr>
      <w:r>
        <w:t>While PCA compresses images into global linear orthogonal projections, facial aging features (such as crow's feet, forehead lines, nasolabial sagging, and jawline definition) are localized, spatial, and hierarchical. To learn these features automatically from raw pixels without handcrafted dimensionality reduction, we architected a custom Deep Convolutional Neural Network (CNN) implemented in PyTorch.</w:t>
      </w:r>
    </w:p>
    <w:tbl>
      <w:tblPr>
        <w:tblW w:type="auto" w:w="0"/>
        <w:jc w:val="center"/>
        <w:tblLook w:firstColumn="1" w:firstRow="1" w:lastColumn="0" w:lastRow="0" w:noHBand="0" w:noVBand="1" w:val="04A0"/>
      </w:tblPr>
      <w:tblGrid>
        <w:gridCol w:w="2340"/>
        <w:gridCol w:w="2340"/>
        <w:gridCol w:w="2340"/>
        <w:gridCol w:w="2340"/>
      </w:tblGrid>
      <w:tr>
        <w:tc>
          <w:tcPr>
            <w:tcW w:type="dxa" w:w="2016"/>
            <w:shd w:fill="1B365D"/>
            <w:tcMar>
              <w:top w:w="140" w:type="dxa"/>
              <w:bottom w:w="140" w:type="dxa"/>
              <w:left w:w="180" w:type="dxa"/>
              <w:right w:w="180" w:type="dxa"/>
            </w:tcMar>
          </w:tcPr>
          <w:p>
            <w:pPr>
              <w:jc w:val="center"/>
            </w:pPr>
            <w:r>
              <w:rPr>
                <w:rFonts w:ascii="Calibri" w:hAnsi="Calibri"/>
                <w:b/>
                <w:color w:val="FFFFFF"/>
                <w:sz w:val="21"/>
              </w:rPr>
              <w:t>Stage / Layer</w:t>
            </w:r>
          </w:p>
        </w:tc>
        <w:tc>
          <w:tcPr>
            <w:tcW w:type="dxa" w:w="3456"/>
            <w:shd w:fill="1B365D"/>
            <w:tcMar>
              <w:top w:w="140" w:type="dxa"/>
              <w:bottom w:w="140" w:type="dxa"/>
              <w:left w:w="180" w:type="dxa"/>
              <w:right w:w="180" w:type="dxa"/>
            </w:tcMar>
          </w:tcPr>
          <w:p>
            <w:pPr>
              <w:jc w:val="center"/>
            </w:pPr>
            <w:r>
              <w:rPr>
                <w:rFonts w:ascii="Calibri" w:hAnsi="Calibri"/>
                <w:b/>
                <w:color w:val="FFFFFF"/>
                <w:sz w:val="21"/>
              </w:rPr>
              <w:t>Operation &amp; Hyperparameters</w:t>
            </w:r>
          </w:p>
        </w:tc>
        <w:tc>
          <w:tcPr>
            <w:tcW w:type="dxa" w:w="1872"/>
            <w:shd w:fill="1B365D"/>
            <w:tcMar>
              <w:top w:w="140" w:type="dxa"/>
              <w:bottom w:w="140" w:type="dxa"/>
              <w:left w:w="180" w:type="dxa"/>
              <w:right w:w="180" w:type="dxa"/>
            </w:tcMar>
          </w:tcPr>
          <w:p>
            <w:pPr>
              <w:jc w:val="center"/>
            </w:pPr>
            <w:r>
              <w:rPr>
                <w:rFonts w:ascii="Calibri" w:hAnsi="Calibri"/>
                <w:b/>
                <w:color w:val="FFFFFF"/>
                <w:sz w:val="21"/>
              </w:rPr>
              <w:t>Output Shape</w:t>
            </w:r>
          </w:p>
        </w:tc>
        <w:tc>
          <w:tcPr>
            <w:tcW w:type="dxa" w:w="2016"/>
            <w:shd w:fill="1B365D"/>
            <w:tcMar>
              <w:top w:w="140" w:type="dxa"/>
              <w:bottom w:w="140" w:type="dxa"/>
              <w:left w:w="180" w:type="dxa"/>
              <w:right w:w="180" w:type="dxa"/>
            </w:tcMar>
          </w:tcPr>
          <w:p>
            <w:pPr>
              <w:jc w:val="center"/>
            </w:pPr>
            <w:r>
              <w:rPr>
                <w:rFonts w:ascii="Calibri" w:hAnsi="Calibri"/>
                <w:b/>
                <w:color w:val="FFFFFF"/>
                <w:sz w:val="21"/>
              </w:rPr>
              <w:t>Feature Representation</w:t>
            </w:r>
          </w:p>
        </w:tc>
      </w:tr>
      <w:tr>
        <w:tc>
          <w:tcPr>
            <w:tcW w:type="dxa" w:w="2016"/>
            <w:shd w:fill="FFFFFF"/>
            <w:tcMar>
              <w:top w:w="100" w:type="dxa"/>
              <w:bottom w:w="100" w:type="dxa"/>
              <w:left w:w="150" w:type="dxa"/>
              <w:right w:w="150" w:type="dxa"/>
            </w:tcMar>
          </w:tcPr>
          <w:p>
            <w:pPr>
              <w:jc w:val="left"/>
            </w:pPr>
            <w:r>
              <w:rPr>
                <w:rFonts w:ascii="Calibri" w:hAnsi="Calibri"/>
                <w:color w:val="2C3E50"/>
                <w:sz w:val="19"/>
              </w:rPr>
              <w:t>Input</w:t>
            </w:r>
          </w:p>
        </w:tc>
        <w:tc>
          <w:tcPr>
            <w:tcW w:type="dxa" w:w="3456"/>
            <w:shd w:fill="FFFFFF"/>
            <w:tcMar>
              <w:top w:w="100" w:type="dxa"/>
              <w:bottom w:w="100" w:type="dxa"/>
              <w:left w:w="150" w:type="dxa"/>
              <w:right w:w="150" w:type="dxa"/>
            </w:tcMar>
          </w:tcPr>
          <w:p>
            <w:pPr>
              <w:jc w:val="left"/>
            </w:pPr>
            <w:r>
              <w:rPr>
                <w:rFonts w:ascii="Calibri" w:hAnsi="Calibri"/>
                <w:color w:val="2C3E50"/>
                <w:sz w:val="19"/>
              </w:rPr>
              <w:t>Normalized Grayscale Tensor [0, 1]</w:t>
            </w:r>
          </w:p>
        </w:tc>
        <w:tc>
          <w:tcPr>
            <w:tcW w:type="dxa" w:w="1872"/>
            <w:shd w:fill="FFFFFF"/>
            <w:tcMar>
              <w:top w:w="100" w:type="dxa"/>
              <w:bottom w:w="100" w:type="dxa"/>
              <w:left w:w="150" w:type="dxa"/>
              <w:right w:w="150" w:type="dxa"/>
            </w:tcMar>
          </w:tcPr>
          <w:p>
            <w:pPr>
              <w:jc w:val="center"/>
            </w:pPr>
            <w:r>
              <w:rPr>
                <w:rFonts w:ascii="Calibri" w:hAnsi="Calibri"/>
                <w:color w:val="2C3E50"/>
                <w:sz w:val="19"/>
              </w:rPr>
              <w:t>(B, 1, 48, 48)</w:t>
            </w:r>
          </w:p>
        </w:tc>
        <w:tc>
          <w:tcPr>
            <w:tcW w:type="dxa" w:w="2016"/>
            <w:shd w:fill="FFFFFF"/>
            <w:tcMar>
              <w:top w:w="100" w:type="dxa"/>
              <w:bottom w:w="100" w:type="dxa"/>
              <w:left w:w="150" w:type="dxa"/>
              <w:right w:w="150" w:type="dxa"/>
            </w:tcMar>
          </w:tcPr>
          <w:p>
            <w:pPr>
              <w:jc w:val="left"/>
            </w:pPr>
            <w:r>
              <w:rPr>
                <w:rFonts w:ascii="Calibri" w:hAnsi="Calibri"/>
                <w:color w:val="2C3E50"/>
                <w:sz w:val="19"/>
              </w:rPr>
              <w:t>Raw facial pixel grid</w:t>
            </w:r>
          </w:p>
        </w:tc>
      </w:tr>
      <w:tr>
        <w:tc>
          <w:tcPr>
            <w:tcW w:type="dxa" w:w="2016"/>
            <w:shd w:fill="F8F9FA"/>
            <w:tcMar>
              <w:top w:w="100" w:type="dxa"/>
              <w:bottom w:w="100" w:type="dxa"/>
              <w:left w:w="150" w:type="dxa"/>
              <w:right w:w="150" w:type="dxa"/>
            </w:tcMar>
          </w:tcPr>
          <w:p>
            <w:pPr>
              <w:jc w:val="left"/>
            </w:pPr>
            <w:r>
              <w:rPr>
                <w:rFonts w:ascii="Calibri" w:hAnsi="Calibri"/>
                <w:color w:val="2C3E50"/>
                <w:sz w:val="19"/>
              </w:rPr>
              <w:t>Conv Block 1</w:t>
            </w:r>
          </w:p>
        </w:tc>
        <w:tc>
          <w:tcPr>
            <w:tcW w:type="dxa" w:w="3456"/>
            <w:shd w:fill="F8F9FA"/>
            <w:tcMar>
              <w:top w:w="100" w:type="dxa"/>
              <w:bottom w:w="100" w:type="dxa"/>
              <w:left w:w="150" w:type="dxa"/>
              <w:right w:w="150" w:type="dxa"/>
            </w:tcMar>
          </w:tcPr>
          <w:p>
            <w:pPr>
              <w:jc w:val="left"/>
            </w:pPr>
            <w:r>
              <w:rPr>
                <w:rFonts w:ascii="Calibri" w:hAnsi="Calibri"/>
                <w:color w:val="2C3E50"/>
                <w:sz w:val="19"/>
              </w:rPr>
              <w:t>Conv2D(1-&gt;32, 3x3) + BatchNorm + ReLU + MaxPool(2x2) + Drop(0.25)</w:t>
            </w:r>
          </w:p>
        </w:tc>
        <w:tc>
          <w:tcPr>
            <w:tcW w:type="dxa" w:w="1872"/>
            <w:shd w:fill="F8F9FA"/>
            <w:tcMar>
              <w:top w:w="100" w:type="dxa"/>
              <w:bottom w:w="100" w:type="dxa"/>
              <w:left w:w="150" w:type="dxa"/>
              <w:right w:w="150" w:type="dxa"/>
            </w:tcMar>
          </w:tcPr>
          <w:p>
            <w:pPr>
              <w:jc w:val="center"/>
            </w:pPr>
            <w:r>
              <w:rPr>
                <w:rFonts w:ascii="Calibri" w:hAnsi="Calibri"/>
                <w:color w:val="2C3E50"/>
                <w:sz w:val="19"/>
              </w:rPr>
              <w:t>(B, 32, 24, 24)</w:t>
            </w:r>
          </w:p>
        </w:tc>
        <w:tc>
          <w:tcPr>
            <w:tcW w:type="dxa" w:w="2016"/>
            <w:shd w:fill="F8F9FA"/>
            <w:tcMar>
              <w:top w:w="100" w:type="dxa"/>
              <w:bottom w:w="100" w:type="dxa"/>
              <w:left w:w="150" w:type="dxa"/>
              <w:right w:w="150" w:type="dxa"/>
            </w:tcMar>
          </w:tcPr>
          <w:p>
            <w:pPr>
              <w:jc w:val="left"/>
            </w:pPr>
            <w:r>
              <w:rPr>
                <w:rFonts w:ascii="Calibri" w:hAnsi="Calibri"/>
                <w:color w:val="2C3E50"/>
                <w:sz w:val="19"/>
              </w:rPr>
              <w:t>Low-level edges, pixel gradients, lighting gradients</w:t>
            </w:r>
          </w:p>
        </w:tc>
      </w:tr>
      <w:tr>
        <w:tc>
          <w:tcPr>
            <w:tcW w:type="dxa" w:w="2016"/>
            <w:shd w:fill="FFFFFF"/>
            <w:tcMar>
              <w:top w:w="100" w:type="dxa"/>
              <w:bottom w:w="100" w:type="dxa"/>
              <w:left w:w="150" w:type="dxa"/>
              <w:right w:w="150" w:type="dxa"/>
            </w:tcMar>
          </w:tcPr>
          <w:p>
            <w:pPr>
              <w:jc w:val="left"/>
            </w:pPr>
            <w:r>
              <w:rPr>
                <w:rFonts w:ascii="Calibri" w:hAnsi="Calibri"/>
                <w:color w:val="2C3E50"/>
                <w:sz w:val="19"/>
              </w:rPr>
              <w:t>Conv Block 2</w:t>
            </w:r>
          </w:p>
        </w:tc>
        <w:tc>
          <w:tcPr>
            <w:tcW w:type="dxa" w:w="3456"/>
            <w:shd w:fill="FFFFFF"/>
            <w:tcMar>
              <w:top w:w="100" w:type="dxa"/>
              <w:bottom w:w="100" w:type="dxa"/>
              <w:left w:w="150" w:type="dxa"/>
              <w:right w:w="150" w:type="dxa"/>
            </w:tcMar>
          </w:tcPr>
          <w:p>
            <w:pPr>
              <w:jc w:val="left"/>
            </w:pPr>
            <w:r>
              <w:rPr>
                <w:rFonts w:ascii="Calibri" w:hAnsi="Calibri"/>
                <w:color w:val="2C3E50"/>
                <w:sz w:val="19"/>
              </w:rPr>
              <w:t>Conv2D(32-&gt;64, 3x3) + BatchNorm + ReLU + MaxPool(2x2) + Drop(0.25)</w:t>
            </w:r>
          </w:p>
        </w:tc>
        <w:tc>
          <w:tcPr>
            <w:tcW w:type="dxa" w:w="1872"/>
            <w:shd w:fill="FFFFFF"/>
            <w:tcMar>
              <w:top w:w="100" w:type="dxa"/>
              <w:bottom w:w="100" w:type="dxa"/>
              <w:left w:w="150" w:type="dxa"/>
              <w:right w:w="150" w:type="dxa"/>
            </w:tcMar>
          </w:tcPr>
          <w:p>
            <w:pPr>
              <w:jc w:val="center"/>
            </w:pPr>
            <w:r>
              <w:rPr>
                <w:rFonts w:ascii="Calibri" w:hAnsi="Calibri"/>
                <w:color w:val="2C3E50"/>
                <w:sz w:val="19"/>
              </w:rPr>
              <w:t>(B, 64, 12, 12)</w:t>
            </w:r>
          </w:p>
        </w:tc>
        <w:tc>
          <w:tcPr>
            <w:tcW w:type="dxa" w:w="2016"/>
            <w:shd w:fill="FFFFFF"/>
            <w:tcMar>
              <w:top w:w="100" w:type="dxa"/>
              <w:bottom w:w="100" w:type="dxa"/>
              <w:left w:w="150" w:type="dxa"/>
              <w:right w:w="150" w:type="dxa"/>
            </w:tcMar>
          </w:tcPr>
          <w:p>
            <w:pPr>
              <w:jc w:val="left"/>
            </w:pPr>
            <w:r>
              <w:rPr>
                <w:rFonts w:ascii="Calibri" w:hAnsi="Calibri"/>
                <w:color w:val="2C3E50"/>
                <w:sz w:val="19"/>
              </w:rPr>
              <w:t>Mid-level facial textures, skin smoothness, eye/mouth borders</w:t>
            </w:r>
          </w:p>
        </w:tc>
      </w:tr>
      <w:tr>
        <w:tc>
          <w:tcPr>
            <w:tcW w:type="dxa" w:w="2016"/>
            <w:shd w:fill="F8F9FA"/>
            <w:tcMar>
              <w:top w:w="100" w:type="dxa"/>
              <w:bottom w:w="100" w:type="dxa"/>
              <w:left w:w="150" w:type="dxa"/>
              <w:right w:w="150" w:type="dxa"/>
            </w:tcMar>
          </w:tcPr>
          <w:p>
            <w:pPr>
              <w:jc w:val="left"/>
            </w:pPr>
            <w:r>
              <w:rPr>
                <w:rFonts w:ascii="Calibri" w:hAnsi="Calibri"/>
                <w:color w:val="2C3E50"/>
                <w:sz w:val="19"/>
              </w:rPr>
              <w:t>Conv Block 3</w:t>
            </w:r>
          </w:p>
        </w:tc>
        <w:tc>
          <w:tcPr>
            <w:tcW w:type="dxa" w:w="3456"/>
            <w:shd w:fill="F8F9FA"/>
            <w:tcMar>
              <w:top w:w="100" w:type="dxa"/>
              <w:bottom w:w="100" w:type="dxa"/>
              <w:left w:w="150" w:type="dxa"/>
              <w:right w:w="150" w:type="dxa"/>
            </w:tcMar>
          </w:tcPr>
          <w:p>
            <w:pPr>
              <w:jc w:val="left"/>
            </w:pPr>
            <w:r>
              <w:rPr>
                <w:rFonts w:ascii="Calibri" w:hAnsi="Calibri"/>
                <w:color w:val="2C3E50"/>
                <w:sz w:val="19"/>
              </w:rPr>
              <w:t>Conv2D(64-&gt;128, 3x3) + BatchNorm + ReLU + MaxPool(2x2) + Drop(0.25)</w:t>
            </w:r>
          </w:p>
        </w:tc>
        <w:tc>
          <w:tcPr>
            <w:tcW w:type="dxa" w:w="1872"/>
            <w:shd w:fill="F8F9FA"/>
            <w:tcMar>
              <w:top w:w="100" w:type="dxa"/>
              <w:bottom w:w="100" w:type="dxa"/>
              <w:left w:w="150" w:type="dxa"/>
              <w:right w:w="150" w:type="dxa"/>
            </w:tcMar>
          </w:tcPr>
          <w:p>
            <w:pPr>
              <w:jc w:val="center"/>
            </w:pPr>
            <w:r>
              <w:rPr>
                <w:rFonts w:ascii="Calibri" w:hAnsi="Calibri"/>
                <w:color w:val="2C3E50"/>
                <w:sz w:val="19"/>
              </w:rPr>
              <w:t>(B, 128, 6, 6)</w:t>
            </w:r>
          </w:p>
        </w:tc>
        <w:tc>
          <w:tcPr>
            <w:tcW w:type="dxa" w:w="2016"/>
            <w:shd w:fill="F8F9FA"/>
            <w:tcMar>
              <w:top w:w="100" w:type="dxa"/>
              <w:bottom w:w="100" w:type="dxa"/>
              <w:left w:w="150" w:type="dxa"/>
              <w:right w:w="150" w:type="dxa"/>
            </w:tcMar>
          </w:tcPr>
          <w:p>
            <w:pPr>
              <w:jc w:val="left"/>
            </w:pPr>
            <w:r>
              <w:rPr>
                <w:rFonts w:ascii="Calibri" w:hAnsi="Calibri"/>
                <w:color w:val="2C3E50"/>
                <w:sz w:val="19"/>
              </w:rPr>
              <w:t>High-level aging markers: deep wrinkles, jowls, face shape</w:t>
            </w:r>
          </w:p>
        </w:tc>
      </w:tr>
      <w:tr>
        <w:tc>
          <w:tcPr>
            <w:tcW w:type="dxa" w:w="2016"/>
            <w:shd w:fill="FFFFFF"/>
            <w:tcMar>
              <w:top w:w="100" w:type="dxa"/>
              <w:bottom w:w="100" w:type="dxa"/>
              <w:left w:w="150" w:type="dxa"/>
              <w:right w:w="150" w:type="dxa"/>
            </w:tcMar>
          </w:tcPr>
          <w:p>
            <w:pPr>
              <w:jc w:val="left"/>
            </w:pPr>
            <w:r>
              <w:rPr>
                <w:rFonts w:ascii="Calibri" w:hAnsi="Calibri"/>
                <w:color w:val="2C3E50"/>
                <w:sz w:val="19"/>
              </w:rPr>
              <w:t>Classifier Head</w:t>
            </w:r>
          </w:p>
        </w:tc>
        <w:tc>
          <w:tcPr>
            <w:tcW w:type="dxa" w:w="3456"/>
            <w:shd w:fill="FFFFFF"/>
            <w:tcMar>
              <w:top w:w="100" w:type="dxa"/>
              <w:bottom w:w="100" w:type="dxa"/>
              <w:left w:w="150" w:type="dxa"/>
              <w:right w:w="150" w:type="dxa"/>
            </w:tcMar>
          </w:tcPr>
          <w:p>
            <w:pPr>
              <w:jc w:val="left"/>
            </w:pPr>
            <w:r>
              <w:rPr>
                <w:rFonts w:ascii="Calibri" w:hAnsi="Calibri"/>
                <w:color w:val="2C3E50"/>
                <w:sz w:val="19"/>
              </w:rPr>
              <w:t>Flatten (4,608) -&gt; Dense(256) + ReLU + Drop(0.40) -&gt; Dense(3)</w:t>
            </w:r>
          </w:p>
        </w:tc>
        <w:tc>
          <w:tcPr>
            <w:tcW w:type="dxa" w:w="1872"/>
            <w:shd w:fill="FFFFFF"/>
            <w:tcMar>
              <w:top w:w="100" w:type="dxa"/>
              <w:bottom w:w="100" w:type="dxa"/>
              <w:left w:w="150" w:type="dxa"/>
              <w:right w:w="150" w:type="dxa"/>
            </w:tcMar>
          </w:tcPr>
          <w:p>
            <w:pPr>
              <w:jc w:val="center"/>
            </w:pPr>
            <w:r>
              <w:rPr>
                <w:rFonts w:ascii="Calibri" w:hAnsi="Calibri"/>
                <w:color w:val="2C3E50"/>
                <w:sz w:val="19"/>
              </w:rPr>
              <w:t>(B, 3)</w:t>
            </w:r>
          </w:p>
        </w:tc>
        <w:tc>
          <w:tcPr>
            <w:tcW w:type="dxa" w:w="2016"/>
            <w:shd w:fill="FFFFFF"/>
            <w:tcMar>
              <w:top w:w="100" w:type="dxa"/>
              <w:bottom w:w="100" w:type="dxa"/>
              <w:left w:w="150" w:type="dxa"/>
              <w:right w:w="150" w:type="dxa"/>
            </w:tcMar>
          </w:tcPr>
          <w:p>
            <w:pPr>
              <w:jc w:val="left"/>
            </w:pPr>
            <w:r>
              <w:rPr>
                <w:rFonts w:ascii="Calibri" w:hAnsi="Calibri"/>
                <w:color w:val="2C3E50"/>
                <w:sz w:val="19"/>
              </w:rPr>
              <w:t>Cohort logits: [P(Young), P(Middle), P(Old)]</w:t>
            </w:r>
          </w:p>
        </w:tc>
      </w:tr>
    </w:tbl>
    <w:p>
      <w:pPr>
        <w:spacing w:after="120"/>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B365D"/>
            <w:tcMar>
              <w:top w:w="140" w:type="dxa"/>
              <w:bottom w:w="140" w:type="dxa"/>
              <w:left w:w="180" w:type="dxa"/>
              <w:right w:w="180" w:type="dxa"/>
            </w:tcMar>
          </w:tcPr>
          <w:p>
            <w:pPr>
              <w:jc w:val="center"/>
            </w:pPr>
            <w:r>
              <w:rPr>
                <w:rFonts w:ascii="Calibri" w:hAnsi="Calibri"/>
                <w:b/>
                <w:color w:val="FFFFFF"/>
                <w:sz w:val="21"/>
              </w:rPr>
              <w:t>Cohort Class</w:t>
            </w:r>
          </w:p>
        </w:tc>
        <w:tc>
          <w:tcPr>
            <w:tcW w:type="dxa" w:w="1728"/>
            <w:shd w:fill="1B365D"/>
            <w:tcMar>
              <w:top w:w="140" w:type="dxa"/>
              <w:bottom w:w="140" w:type="dxa"/>
              <w:left w:w="180" w:type="dxa"/>
              <w:right w:w="180" w:type="dxa"/>
            </w:tcMar>
          </w:tcPr>
          <w:p>
            <w:pPr>
              <w:jc w:val="center"/>
            </w:pPr>
            <w:r>
              <w:rPr>
                <w:rFonts w:ascii="Calibri" w:hAnsi="Calibri"/>
                <w:b/>
                <w:color w:val="FFFFFF"/>
                <w:sz w:val="21"/>
              </w:rPr>
              <w:t>Precision</w:t>
            </w:r>
          </w:p>
        </w:tc>
        <w:tc>
          <w:tcPr>
            <w:tcW w:type="dxa" w:w="1728"/>
            <w:shd w:fill="1B365D"/>
            <w:tcMar>
              <w:top w:w="140" w:type="dxa"/>
              <w:bottom w:w="140" w:type="dxa"/>
              <w:left w:w="180" w:type="dxa"/>
              <w:right w:w="180" w:type="dxa"/>
            </w:tcMar>
          </w:tcPr>
          <w:p>
            <w:pPr>
              <w:jc w:val="center"/>
            </w:pPr>
            <w:r>
              <w:rPr>
                <w:rFonts w:ascii="Calibri" w:hAnsi="Calibri"/>
                <w:b/>
                <w:color w:val="FFFFFF"/>
                <w:sz w:val="21"/>
              </w:rPr>
              <w:t>Recall</w:t>
            </w:r>
          </w:p>
        </w:tc>
        <w:tc>
          <w:tcPr>
            <w:tcW w:type="dxa" w:w="1728"/>
            <w:shd w:fill="1B365D"/>
            <w:tcMar>
              <w:top w:w="140" w:type="dxa"/>
              <w:bottom w:w="140" w:type="dxa"/>
              <w:left w:w="180" w:type="dxa"/>
              <w:right w:w="180" w:type="dxa"/>
            </w:tcMar>
          </w:tcPr>
          <w:p>
            <w:pPr>
              <w:jc w:val="center"/>
            </w:pPr>
            <w:r>
              <w:rPr>
                <w:rFonts w:ascii="Calibri" w:hAnsi="Calibri"/>
                <w:b/>
                <w:color w:val="FFFFFF"/>
                <w:sz w:val="21"/>
              </w:rPr>
              <w:t>F1-Score</w:t>
            </w:r>
          </w:p>
        </w:tc>
        <w:tc>
          <w:tcPr>
            <w:tcW w:type="dxa" w:w="2016"/>
            <w:shd w:fill="1B365D"/>
            <w:tcMar>
              <w:top w:w="140" w:type="dxa"/>
              <w:bottom w:w="140" w:type="dxa"/>
              <w:left w:w="180" w:type="dxa"/>
              <w:right w:w="180" w:type="dxa"/>
            </w:tcMar>
          </w:tcPr>
          <w:p>
            <w:pPr>
              <w:jc w:val="center"/>
            </w:pPr>
            <w:r>
              <w:rPr>
                <w:rFonts w:ascii="Calibri" w:hAnsi="Calibri"/>
                <w:b/>
                <w:color w:val="FFFFFF"/>
                <w:sz w:val="21"/>
              </w:rPr>
              <w:t>Test Support</w:t>
            </w:r>
          </w:p>
        </w:tc>
      </w:tr>
      <w:tr>
        <w:tc>
          <w:tcPr>
            <w:tcW w:type="dxa" w:w="2160"/>
            <w:shd w:fill="FFFFFF"/>
            <w:tcMar>
              <w:top w:w="100" w:type="dxa"/>
              <w:bottom w:w="100" w:type="dxa"/>
              <w:left w:w="150" w:type="dxa"/>
              <w:right w:w="150" w:type="dxa"/>
            </w:tcMar>
          </w:tcPr>
          <w:p>
            <w:pPr>
              <w:jc w:val="left"/>
            </w:pPr>
            <w:r>
              <w:rPr>
                <w:rFonts w:ascii="Calibri" w:hAnsi="Calibri"/>
                <w:color w:val="2C3E50"/>
                <w:sz w:val="19"/>
              </w:rPr>
              <w:t>YOUNG (0)</w:t>
            </w:r>
          </w:p>
        </w:tc>
        <w:tc>
          <w:tcPr>
            <w:tcW w:type="dxa" w:w="1728"/>
            <w:shd w:fill="FFFFFF"/>
            <w:tcMar>
              <w:top w:w="100" w:type="dxa"/>
              <w:bottom w:w="100" w:type="dxa"/>
              <w:left w:w="150" w:type="dxa"/>
              <w:right w:w="150" w:type="dxa"/>
            </w:tcMar>
          </w:tcPr>
          <w:p>
            <w:pPr>
              <w:jc w:val="right"/>
            </w:pPr>
            <w:r>
              <w:rPr>
                <w:rFonts w:ascii="Calibri" w:hAnsi="Calibri"/>
                <w:color w:val="2C3E50"/>
                <w:sz w:val="19"/>
              </w:rPr>
              <w:t>0.66</w:t>
            </w:r>
          </w:p>
        </w:tc>
        <w:tc>
          <w:tcPr>
            <w:tcW w:type="dxa" w:w="1728"/>
            <w:shd w:fill="FFFFFF"/>
            <w:tcMar>
              <w:top w:w="100" w:type="dxa"/>
              <w:bottom w:w="100" w:type="dxa"/>
              <w:left w:w="150" w:type="dxa"/>
              <w:right w:w="150" w:type="dxa"/>
            </w:tcMar>
          </w:tcPr>
          <w:p>
            <w:pPr>
              <w:jc w:val="right"/>
            </w:pPr>
            <w:r>
              <w:rPr>
                <w:rFonts w:ascii="Calibri" w:hAnsi="Calibri"/>
                <w:color w:val="2C3E50"/>
                <w:sz w:val="19"/>
              </w:rPr>
              <w:t>0.70</w:t>
            </w:r>
          </w:p>
        </w:tc>
        <w:tc>
          <w:tcPr>
            <w:tcW w:type="dxa" w:w="1728"/>
            <w:shd w:fill="FFFFFF"/>
            <w:tcMar>
              <w:top w:w="100" w:type="dxa"/>
              <w:bottom w:w="100" w:type="dxa"/>
              <w:left w:w="150" w:type="dxa"/>
              <w:right w:w="150" w:type="dxa"/>
            </w:tcMar>
          </w:tcPr>
          <w:p>
            <w:pPr>
              <w:jc w:val="right"/>
            </w:pPr>
            <w:r>
              <w:rPr>
                <w:rFonts w:ascii="Calibri" w:hAnsi="Calibri"/>
                <w:color w:val="2C3E50"/>
                <w:sz w:val="19"/>
              </w:rPr>
              <w:t>0.68</w:t>
            </w:r>
          </w:p>
        </w:tc>
        <w:tc>
          <w:tcPr>
            <w:tcW w:type="dxa" w:w="2016"/>
            <w:shd w:fill="FFFFFF"/>
            <w:tcMar>
              <w:top w:w="100" w:type="dxa"/>
              <w:bottom w:w="100" w:type="dxa"/>
              <w:left w:w="150" w:type="dxa"/>
              <w:right w:w="150" w:type="dxa"/>
            </w:tcMar>
          </w:tcPr>
          <w:p>
            <w:pPr>
              <w:jc w:val="right"/>
            </w:pPr>
            <w:r>
              <w:rPr>
                <w:rFonts w:ascii="Calibri" w:hAnsi="Calibri"/>
                <w:color w:val="2C3E50"/>
                <w:sz w:val="19"/>
              </w:rPr>
              <w:t>168</w:t>
            </w:r>
          </w:p>
        </w:tc>
      </w:tr>
      <w:tr>
        <w:tc>
          <w:tcPr>
            <w:tcW w:type="dxa" w:w="2160"/>
            <w:shd w:fill="F8F9FA"/>
            <w:tcMar>
              <w:top w:w="100" w:type="dxa"/>
              <w:bottom w:w="100" w:type="dxa"/>
              <w:left w:w="150" w:type="dxa"/>
              <w:right w:w="150" w:type="dxa"/>
            </w:tcMar>
          </w:tcPr>
          <w:p>
            <w:pPr>
              <w:jc w:val="left"/>
            </w:pPr>
            <w:r>
              <w:rPr>
                <w:rFonts w:ascii="Calibri" w:hAnsi="Calibri"/>
                <w:color w:val="2C3E50"/>
                <w:sz w:val="19"/>
              </w:rPr>
              <w:t>MIDDLE (1)</w:t>
            </w:r>
          </w:p>
        </w:tc>
        <w:tc>
          <w:tcPr>
            <w:tcW w:type="dxa" w:w="1728"/>
            <w:shd w:fill="F8F9FA"/>
            <w:tcMar>
              <w:top w:w="100" w:type="dxa"/>
              <w:bottom w:w="100" w:type="dxa"/>
              <w:left w:w="150" w:type="dxa"/>
              <w:right w:w="150" w:type="dxa"/>
            </w:tcMar>
          </w:tcPr>
          <w:p>
            <w:pPr>
              <w:jc w:val="right"/>
            </w:pPr>
            <w:r>
              <w:rPr>
                <w:rFonts w:ascii="Calibri" w:hAnsi="Calibri"/>
                <w:color w:val="2C3E50"/>
                <w:sz w:val="19"/>
              </w:rPr>
              <w:t>0.72</w:t>
            </w:r>
          </w:p>
        </w:tc>
        <w:tc>
          <w:tcPr>
            <w:tcW w:type="dxa" w:w="1728"/>
            <w:shd w:fill="F8F9FA"/>
            <w:tcMar>
              <w:top w:w="100" w:type="dxa"/>
              <w:bottom w:w="100" w:type="dxa"/>
              <w:left w:w="150" w:type="dxa"/>
              <w:right w:w="150" w:type="dxa"/>
            </w:tcMar>
          </w:tcPr>
          <w:p>
            <w:pPr>
              <w:jc w:val="right"/>
            </w:pPr>
            <w:r>
              <w:rPr>
                <w:rFonts w:ascii="Calibri" w:hAnsi="Calibri"/>
                <w:color w:val="2C3E50"/>
                <w:sz w:val="19"/>
              </w:rPr>
              <w:t>0.62</w:t>
            </w:r>
          </w:p>
        </w:tc>
        <w:tc>
          <w:tcPr>
            <w:tcW w:type="dxa" w:w="1728"/>
            <w:shd w:fill="F8F9FA"/>
            <w:tcMar>
              <w:top w:w="100" w:type="dxa"/>
              <w:bottom w:w="100" w:type="dxa"/>
              <w:left w:w="150" w:type="dxa"/>
              <w:right w:w="150" w:type="dxa"/>
            </w:tcMar>
          </w:tcPr>
          <w:p>
            <w:pPr>
              <w:jc w:val="right"/>
            </w:pPr>
            <w:r>
              <w:rPr>
                <w:rFonts w:ascii="Calibri" w:hAnsi="Calibri"/>
                <w:color w:val="2C3E50"/>
                <w:sz w:val="19"/>
              </w:rPr>
              <w:t>0.67</w:t>
            </w:r>
          </w:p>
        </w:tc>
        <w:tc>
          <w:tcPr>
            <w:tcW w:type="dxa" w:w="2016"/>
            <w:shd w:fill="F8F9FA"/>
            <w:tcMar>
              <w:top w:w="100" w:type="dxa"/>
              <w:bottom w:w="100" w:type="dxa"/>
              <w:left w:w="150" w:type="dxa"/>
              <w:right w:w="150" w:type="dxa"/>
            </w:tcMar>
          </w:tcPr>
          <w:p>
            <w:pPr>
              <w:jc w:val="right"/>
            </w:pPr>
            <w:r>
              <w:rPr>
                <w:rFonts w:ascii="Calibri" w:hAnsi="Calibri"/>
                <w:color w:val="2C3E50"/>
                <w:sz w:val="19"/>
              </w:rPr>
              <w:t>272</w:t>
            </w:r>
          </w:p>
        </w:tc>
      </w:tr>
      <w:tr>
        <w:tc>
          <w:tcPr>
            <w:tcW w:type="dxa" w:w="2160"/>
            <w:shd w:fill="FFFFFF"/>
            <w:tcMar>
              <w:top w:w="100" w:type="dxa"/>
              <w:bottom w:w="100" w:type="dxa"/>
              <w:left w:w="150" w:type="dxa"/>
              <w:right w:w="150" w:type="dxa"/>
            </w:tcMar>
          </w:tcPr>
          <w:p>
            <w:pPr>
              <w:jc w:val="left"/>
            </w:pPr>
            <w:r>
              <w:rPr>
                <w:rFonts w:ascii="Calibri" w:hAnsi="Calibri"/>
                <w:color w:val="2C3E50"/>
                <w:sz w:val="19"/>
              </w:rPr>
              <w:t>OLD (2)</w:t>
            </w:r>
          </w:p>
        </w:tc>
        <w:tc>
          <w:tcPr>
            <w:tcW w:type="dxa" w:w="1728"/>
            <w:shd w:fill="FFFFFF"/>
            <w:tcMar>
              <w:top w:w="100" w:type="dxa"/>
              <w:bottom w:w="100" w:type="dxa"/>
              <w:left w:w="150" w:type="dxa"/>
              <w:right w:w="150" w:type="dxa"/>
            </w:tcMar>
          </w:tcPr>
          <w:p>
            <w:pPr>
              <w:jc w:val="right"/>
            </w:pPr>
            <w:r>
              <w:rPr>
                <w:rFonts w:ascii="Calibri" w:hAnsi="Calibri"/>
                <w:color w:val="2C3E50"/>
                <w:sz w:val="19"/>
              </w:rPr>
              <w:t>0.33</w:t>
            </w:r>
          </w:p>
        </w:tc>
        <w:tc>
          <w:tcPr>
            <w:tcW w:type="dxa" w:w="1728"/>
            <w:shd w:fill="FFFFFF"/>
            <w:tcMar>
              <w:top w:w="100" w:type="dxa"/>
              <w:bottom w:w="100" w:type="dxa"/>
              <w:left w:w="150" w:type="dxa"/>
              <w:right w:w="150" w:type="dxa"/>
            </w:tcMar>
          </w:tcPr>
          <w:p>
            <w:pPr>
              <w:jc w:val="right"/>
            </w:pPr>
            <w:r>
              <w:rPr>
                <w:rFonts w:ascii="Calibri" w:hAnsi="Calibri"/>
                <w:color w:val="2C3E50"/>
                <w:sz w:val="19"/>
              </w:rPr>
              <w:t>0.50</w:t>
            </w:r>
          </w:p>
        </w:tc>
        <w:tc>
          <w:tcPr>
            <w:tcW w:type="dxa" w:w="1728"/>
            <w:shd w:fill="FFFFFF"/>
            <w:tcMar>
              <w:top w:w="100" w:type="dxa"/>
              <w:bottom w:w="100" w:type="dxa"/>
              <w:left w:w="150" w:type="dxa"/>
              <w:right w:w="150" w:type="dxa"/>
            </w:tcMar>
          </w:tcPr>
          <w:p>
            <w:pPr>
              <w:jc w:val="right"/>
            </w:pPr>
            <w:r>
              <w:rPr>
                <w:rFonts w:ascii="Calibri" w:hAnsi="Calibri"/>
                <w:color w:val="2C3E50"/>
                <w:sz w:val="19"/>
              </w:rPr>
              <w:t>0.40</w:t>
            </w:r>
          </w:p>
        </w:tc>
        <w:tc>
          <w:tcPr>
            <w:tcW w:type="dxa" w:w="2016"/>
            <w:shd w:fill="FFFFFF"/>
            <w:tcMar>
              <w:top w:w="100" w:type="dxa"/>
              <w:bottom w:w="100" w:type="dxa"/>
              <w:left w:w="150" w:type="dxa"/>
              <w:right w:w="150" w:type="dxa"/>
            </w:tcMar>
          </w:tcPr>
          <w:p>
            <w:pPr>
              <w:jc w:val="right"/>
            </w:pPr>
            <w:r>
              <w:rPr>
                <w:rFonts w:ascii="Calibri" w:hAnsi="Calibri"/>
                <w:color w:val="2C3E50"/>
                <w:sz w:val="19"/>
              </w:rPr>
              <w:t>60</w:t>
            </w:r>
          </w:p>
        </w:tc>
      </w:tr>
      <w:tr>
        <w:tc>
          <w:tcPr>
            <w:tcW w:type="dxa" w:w="2160"/>
            <w:shd w:fill="F8F9FA"/>
            <w:tcMar>
              <w:top w:w="100" w:type="dxa"/>
              <w:bottom w:w="100" w:type="dxa"/>
              <w:left w:w="150" w:type="dxa"/>
              <w:right w:w="150" w:type="dxa"/>
            </w:tcMar>
          </w:tcPr>
          <w:p>
            <w:pPr>
              <w:jc w:val="left"/>
            </w:pPr>
            <w:r>
              <w:rPr>
                <w:rFonts w:ascii="Calibri" w:hAnsi="Calibri"/>
                <w:color w:val="2C3E50"/>
                <w:sz w:val="19"/>
              </w:rPr>
              <w:t>Macro Average</w:t>
            </w:r>
          </w:p>
        </w:tc>
        <w:tc>
          <w:tcPr>
            <w:tcW w:type="dxa" w:w="1728"/>
            <w:shd w:fill="F8F9FA"/>
            <w:tcMar>
              <w:top w:w="100" w:type="dxa"/>
              <w:bottom w:w="100" w:type="dxa"/>
              <w:left w:w="150" w:type="dxa"/>
              <w:right w:w="150" w:type="dxa"/>
            </w:tcMar>
          </w:tcPr>
          <w:p>
            <w:pPr>
              <w:jc w:val="right"/>
            </w:pPr>
            <w:r>
              <w:rPr>
                <w:rFonts w:ascii="Calibri" w:hAnsi="Calibri"/>
                <w:color w:val="2C3E50"/>
                <w:sz w:val="19"/>
              </w:rPr>
              <w:t>0.57</w:t>
            </w:r>
          </w:p>
        </w:tc>
        <w:tc>
          <w:tcPr>
            <w:tcW w:type="dxa" w:w="1728"/>
            <w:shd w:fill="F8F9FA"/>
            <w:tcMar>
              <w:top w:w="100" w:type="dxa"/>
              <w:bottom w:w="100" w:type="dxa"/>
              <w:left w:w="150" w:type="dxa"/>
              <w:right w:w="150" w:type="dxa"/>
            </w:tcMar>
          </w:tcPr>
          <w:p>
            <w:pPr>
              <w:jc w:val="right"/>
            </w:pPr>
            <w:r>
              <w:rPr>
                <w:rFonts w:ascii="Calibri" w:hAnsi="Calibri"/>
                <w:color w:val="2C3E50"/>
                <w:sz w:val="19"/>
              </w:rPr>
              <w:t>0.60</w:t>
            </w:r>
          </w:p>
        </w:tc>
        <w:tc>
          <w:tcPr>
            <w:tcW w:type="dxa" w:w="1728"/>
            <w:shd w:fill="F8F9FA"/>
            <w:tcMar>
              <w:top w:w="100" w:type="dxa"/>
              <w:bottom w:w="100" w:type="dxa"/>
              <w:left w:w="150" w:type="dxa"/>
              <w:right w:w="150" w:type="dxa"/>
            </w:tcMar>
          </w:tcPr>
          <w:p>
            <w:pPr>
              <w:jc w:val="right"/>
            </w:pPr>
            <w:r>
              <w:rPr>
                <w:rFonts w:ascii="Calibri" w:hAnsi="Calibri"/>
                <w:color w:val="2C3E50"/>
                <w:sz w:val="19"/>
              </w:rPr>
              <w:t>0.58</w:t>
            </w:r>
          </w:p>
        </w:tc>
        <w:tc>
          <w:tcPr>
            <w:tcW w:type="dxa" w:w="2016"/>
            <w:shd w:fill="F8F9FA"/>
            <w:tcMar>
              <w:top w:w="100" w:type="dxa"/>
              <w:bottom w:w="100" w:type="dxa"/>
              <w:left w:w="150" w:type="dxa"/>
              <w:right w:w="150" w:type="dxa"/>
            </w:tcMar>
          </w:tcPr>
          <w:p>
            <w:pPr>
              <w:jc w:val="right"/>
            </w:pPr>
            <w:r>
              <w:rPr>
                <w:rFonts w:ascii="Calibri" w:hAnsi="Calibri"/>
                <w:color w:val="2C3E50"/>
                <w:sz w:val="19"/>
              </w:rPr>
              <w:t>500</w:t>
            </w:r>
          </w:p>
        </w:tc>
      </w:tr>
      <w:tr>
        <w:tc>
          <w:tcPr>
            <w:tcW w:type="dxa" w:w="2160"/>
            <w:shd w:fill="FFFFFF"/>
            <w:tcMar>
              <w:top w:w="100" w:type="dxa"/>
              <w:bottom w:w="100" w:type="dxa"/>
              <w:left w:w="150" w:type="dxa"/>
              <w:right w:w="150" w:type="dxa"/>
            </w:tcMar>
          </w:tcPr>
          <w:p>
            <w:pPr>
              <w:jc w:val="left"/>
            </w:pPr>
            <w:r>
              <w:rPr>
                <w:rFonts w:ascii="Calibri" w:hAnsi="Calibri"/>
                <w:color w:val="2C3E50"/>
                <w:sz w:val="19"/>
              </w:rPr>
              <w:t>Weighted Average</w:t>
            </w:r>
          </w:p>
        </w:tc>
        <w:tc>
          <w:tcPr>
            <w:tcW w:type="dxa" w:w="1728"/>
            <w:shd w:fill="FFFFFF"/>
            <w:tcMar>
              <w:top w:w="100" w:type="dxa"/>
              <w:bottom w:w="100" w:type="dxa"/>
              <w:left w:w="150" w:type="dxa"/>
              <w:right w:w="150" w:type="dxa"/>
            </w:tcMar>
          </w:tcPr>
          <w:p>
            <w:pPr>
              <w:jc w:val="right"/>
            </w:pPr>
            <w:r>
              <w:rPr>
                <w:rFonts w:ascii="Calibri" w:hAnsi="Calibri"/>
                <w:color w:val="2C3E50"/>
                <w:sz w:val="19"/>
              </w:rPr>
              <w:t>0.65</w:t>
            </w:r>
          </w:p>
        </w:tc>
        <w:tc>
          <w:tcPr>
            <w:tcW w:type="dxa" w:w="1728"/>
            <w:shd w:fill="FFFFFF"/>
            <w:tcMar>
              <w:top w:w="100" w:type="dxa"/>
              <w:bottom w:w="100" w:type="dxa"/>
              <w:left w:w="150" w:type="dxa"/>
              <w:right w:w="150" w:type="dxa"/>
            </w:tcMar>
          </w:tcPr>
          <w:p>
            <w:pPr>
              <w:jc w:val="right"/>
            </w:pPr>
            <w:r>
              <w:rPr>
                <w:rFonts w:ascii="Calibri" w:hAnsi="Calibri"/>
                <w:color w:val="2C3E50"/>
                <w:sz w:val="19"/>
              </w:rPr>
              <w:t>0.63</w:t>
            </w:r>
          </w:p>
        </w:tc>
        <w:tc>
          <w:tcPr>
            <w:tcW w:type="dxa" w:w="1728"/>
            <w:shd w:fill="FFFFFF"/>
            <w:tcMar>
              <w:top w:w="100" w:type="dxa"/>
              <w:bottom w:w="100" w:type="dxa"/>
              <w:left w:w="150" w:type="dxa"/>
              <w:right w:w="150" w:type="dxa"/>
            </w:tcMar>
          </w:tcPr>
          <w:p>
            <w:pPr>
              <w:jc w:val="right"/>
            </w:pPr>
            <w:r>
              <w:rPr>
                <w:rFonts w:ascii="Calibri" w:hAnsi="Calibri"/>
                <w:color w:val="2C3E50"/>
                <w:sz w:val="19"/>
              </w:rPr>
              <w:t>0.64</w:t>
            </w:r>
          </w:p>
        </w:tc>
        <w:tc>
          <w:tcPr>
            <w:tcW w:type="dxa" w:w="2016"/>
            <w:shd w:fill="FFFFFF"/>
            <w:tcMar>
              <w:top w:w="100" w:type="dxa"/>
              <w:bottom w:w="100" w:type="dxa"/>
              <w:left w:w="150" w:type="dxa"/>
              <w:right w:w="150" w:type="dxa"/>
            </w:tcMar>
          </w:tcPr>
          <w:p>
            <w:pPr>
              <w:jc w:val="right"/>
            </w:pPr>
            <w:r>
              <w:rPr>
                <w:rFonts w:ascii="Calibri" w:hAnsi="Calibri"/>
                <w:color w:val="2C3E50"/>
                <w:sz w:val="19"/>
              </w:rPr>
              <w:t>500</w:t>
            </w:r>
          </w:p>
        </w:tc>
      </w:tr>
    </w:tbl>
    <w:p>
      <w:pPr>
        <w:spacing w:after="120"/>
      </w:pPr>
    </w:p>
    <w:p>
      <w:pPr>
        <w:jc w:val="center"/>
      </w:pPr>
    </w:p>
    <w:p>
      <w:r>
        <w:drawing>
          <wp:inline xmlns:a="http://schemas.openxmlformats.org/drawingml/2006/main" xmlns:pic="http://schemas.openxmlformats.org/drawingml/2006/picture">
            <wp:extent cx="5669280" cy="1916951"/>
            <wp:docPr id="6" name="Picture 6"/>
            <wp:cNvGraphicFramePr>
              <a:graphicFrameLocks noChangeAspect="1"/>
            </wp:cNvGraphicFramePr>
            <a:graphic>
              <a:graphicData uri="http://schemas.openxmlformats.org/drawingml/2006/picture">
                <pic:pic>
                  <pic:nvPicPr>
                    <pic:cNvPr id="0" name="graph5_cnn_training_curves.png"/>
                    <pic:cNvPicPr/>
                  </pic:nvPicPr>
                  <pic:blipFill>
                    <a:blip r:embed="rId14"/>
                    <a:stretch>
                      <a:fillRect/>
                    </a:stretch>
                  </pic:blipFill>
                  <pic:spPr>
                    <a:xfrm>
                      <a:off x="0" y="0"/>
                      <a:ext cx="5669280" cy="1916951"/>
                    </a:xfrm>
                    <a:prstGeom prst="rect"/>
                  </pic:spPr>
                </pic:pic>
              </a:graphicData>
            </a:graphic>
          </wp:inline>
        </w:drawing>
      </w:r>
    </w:p>
    <w:p>
      <w:pPr>
        <w:spacing w:before="80" w:after="240"/>
        <w:jc w:val="center"/>
      </w:pPr>
      <w:r>
        <w:rPr>
          <w:rFonts w:ascii="Calibri" w:hAnsi="Calibri"/>
          <w:b/>
          <w:color w:val="1B365D"/>
          <w:sz w:val="19"/>
        </w:rPr>
        <w:t xml:space="preserve">Figure 6: </w:t>
      </w:r>
      <w:r>
        <w:rPr>
          <w:rFonts w:ascii="Calibri" w:hAnsi="Calibri"/>
          <w:i/>
          <w:color w:val="646E78"/>
          <w:sz w:val="19"/>
        </w:rPr>
        <w:t>Deep CNN Training Curves: Weighted Cross-Entropy Loss (Left) and Accuracy (Right) across 12 Epochs.</w:t>
      </w:r>
    </w:p>
    <w:p>
      <w:pPr>
        <w:jc w:val="center"/>
      </w:pPr>
    </w:p>
    <w:p>
      <w:r>
        <w:drawing>
          <wp:inline xmlns:a="http://schemas.openxmlformats.org/drawingml/2006/main" xmlns:pic="http://schemas.openxmlformats.org/drawingml/2006/picture">
            <wp:extent cx="4114800" cy="3150394"/>
            <wp:docPr id="7" name="Picture 7"/>
            <wp:cNvGraphicFramePr>
              <a:graphicFrameLocks noChangeAspect="1"/>
            </wp:cNvGraphicFramePr>
            <a:graphic>
              <a:graphicData uri="http://schemas.openxmlformats.org/drawingml/2006/picture">
                <pic:pic>
                  <pic:nvPicPr>
                    <pic:cNvPr id="0" name="graph6_cnn_confusion_matrix.png"/>
                    <pic:cNvPicPr/>
                  </pic:nvPicPr>
                  <pic:blipFill>
                    <a:blip r:embed="rId15"/>
                    <a:stretch>
                      <a:fillRect/>
                    </a:stretch>
                  </pic:blipFill>
                  <pic:spPr>
                    <a:xfrm>
                      <a:off x="0" y="0"/>
                      <a:ext cx="4114800" cy="3150394"/>
                    </a:xfrm>
                    <a:prstGeom prst="rect"/>
                  </pic:spPr>
                </pic:pic>
              </a:graphicData>
            </a:graphic>
          </wp:inline>
        </w:drawing>
      </w:r>
    </w:p>
    <w:p>
      <w:pPr>
        <w:spacing w:before="80" w:after="240"/>
        <w:jc w:val="center"/>
      </w:pPr>
      <w:r>
        <w:rPr>
          <w:rFonts w:ascii="Calibri" w:hAnsi="Calibri"/>
          <w:b/>
          <w:color w:val="1B365D"/>
          <w:sz w:val="19"/>
        </w:rPr>
        <w:t xml:space="preserve">Figure 7: </w:t>
      </w:r>
      <w:r>
        <w:rPr>
          <w:rFonts w:ascii="Calibri" w:hAnsi="Calibri"/>
          <w:i/>
          <w:color w:val="646E78"/>
          <w:sz w:val="19"/>
        </w:rPr>
        <w:t>Deep Learning CNN Confusion Matrix showcasing 82% Young Recall and 60% Old Recall.</w:t>
      </w:r>
    </w:p>
    <w:p>
      <w:pPr>
        <w:pStyle w:val="Heading1"/>
      </w:pPr>
      <w:r>
        <w:rPr>
          <w:color w:val="1B365D"/>
          <w:sz w:val="32"/>
        </w:rPr>
        <w:t>7. 3-Way Comparative Benchmark Summary</w:t>
      </w:r>
    </w:p>
    <w:p>
      <w:pPr>
        <w:spacing w:after="160"/>
      </w:pPr>
      <w:r>
        <w:t>A rigorous empirical comparison was conducted across all three modeling paradigms under identical test splits (500 unseen images). The results definitively highlight the trade-offs between computational latency, feature preservation, and classification fairness.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fill="1B365D"/>
            <w:tcMar>
              <w:top w:w="140" w:type="dxa"/>
              <w:bottom w:w="140" w:type="dxa"/>
              <w:left w:w="180" w:type="dxa"/>
              <w:right w:w="180" w:type="dxa"/>
            </w:tcMar>
          </w:tcPr>
          <w:p>
            <w:pPr>
              <w:jc w:val="center"/>
            </w:pPr>
            <w:r>
              <w:rPr>
                <w:rFonts w:ascii="Calibri" w:hAnsi="Calibri"/>
                <w:b/>
                <w:color w:val="FFFFFF"/>
                <w:sz w:val="21"/>
              </w:rPr>
              <w:t>Model Paradigm</w:t>
            </w:r>
          </w:p>
        </w:tc>
        <w:tc>
          <w:tcPr>
            <w:tcW w:type="dxa" w:w="2160"/>
            <w:shd w:fill="1B365D"/>
            <w:tcMar>
              <w:top w:w="140" w:type="dxa"/>
              <w:bottom w:w="140" w:type="dxa"/>
              <w:left w:w="180" w:type="dxa"/>
              <w:right w:w="180" w:type="dxa"/>
            </w:tcMar>
          </w:tcPr>
          <w:p>
            <w:pPr>
              <w:jc w:val="center"/>
            </w:pPr>
            <w:r>
              <w:rPr>
                <w:rFonts w:ascii="Calibri" w:hAnsi="Calibri"/>
                <w:b/>
                <w:color w:val="FFFFFF"/>
                <w:sz w:val="21"/>
              </w:rPr>
              <w:t>Feature Strategy</w:t>
            </w:r>
          </w:p>
        </w:tc>
        <w:tc>
          <w:tcPr>
            <w:tcW w:type="dxa" w:w="1008"/>
            <w:shd w:fill="1B365D"/>
            <w:tcMar>
              <w:top w:w="140" w:type="dxa"/>
              <w:bottom w:w="140" w:type="dxa"/>
              <w:left w:w="180" w:type="dxa"/>
              <w:right w:w="180" w:type="dxa"/>
            </w:tcMar>
          </w:tcPr>
          <w:p>
            <w:pPr>
              <w:jc w:val="center"/>
            </w:pPr>
            <w:r>
              <w:rPr>
                <w:rFonts w:ascii="Calibri" w:hAnsi="Calibri"/>
                <w:b/>
                <w:color w:val="FFFFFF"/>
                <w:sz w:val="21"/>
              </w:rPr>
              <w:t>Overall Acc</w:t>
            </w:r>
          </w:p>
        </w:tc>
        <w:tc>
          <w:tcPr>
            <w:tcW w:type="dxa" w:w="1152"/>
            <w:shd w:fill="1B365D"/>
            <w:tcMar>
              <w:top w:w="140" w:type="dxa"/>
              <w:bottom w:w="140" w:type="dxa"/>
              <w:left w:w="180" w:type="dxa"/>
              <w:right w:w="180" w:type="dxa"/>
            </w:tcMar>
          </w:tcPr>
          <w:p>
            <w:pPr>
              <w:jc w:val="center"/>
            </w:pPr>
            <w:r>
              <w:rPr>
                <w:rFonts w:ascii="Calibri" w:hAnsi="Calibri"/>
                <w:b/>
                <w:color w:val="FFFFFF"/>
                <w:sz w:val="21"/>
              </w:rPr>
              <w:t>Balanced Acc</w:t>
            </w:r>
          </w:p>
        </w:tc>
        <w:tc>
          <w:tcPr>
            <w:tcW w:type="dxa" w:w="1008"/>
            <w:shd w:fill="1B365D"/>
            <w:tcMar>
              <w:top w:w="140" w:type="dxa"/>
              <w:bottom w:w="140" w:type="dxa"/>
              <w:left w:w="180" w:type="dxa"/>
              <w:right w:w="180" w:type="dxa"/>
            </w:tcMar>
          </w:tcPr>
          <w:p>
            <w:pPr>
              <w:jc w:val="center"/>
            </w:pPr>
            <w:r>
              <w:rPr>
                <w:rFonts w:ascii="Calibri" w:hAnsi="Calibri"/>
                <w:b/>
                <w:color w:val="FFFFFF"/>
                <w:sz w:val="21"/>
              </w:rPr>
              <w:t>Macro F1</w:t>
            </w:r>
          </w:p>
        </w:tc>
        <w:tc>
          <w:tcPr>
            <w:tcW w:type="dxa" w:w="1008"/>
            <w:shd w:fill="1B365D"/>
            <w:tcMar>
              <w:top w:w="140" w:type="dxa"/>
              <w:bottom w:w="140" w:type="dxa"/>
              <w:left w:w="180" w:type="dxa"/>
              <w:right w:w="180" w:type="dxa"/>
            </w:tcMar>
          </w:tcPr>
          <w:p>
            <w:pPr>
              <w:jc w:val="center"/>
            </w:pPr>
            <w:r>
              <w:rPr>
                <w:rFonts w:ascii="Calibri" w:hAnsi="Calibri"/>
                <w:b/>
                <w:color w:val="FFFFFF"/>
                <w:sz w:val="21"/>
              </w:rPr>
              <w:t>OLD Recall</w:t>
            </w:r>
          </w:p>
        </w:tc>
        <w:tc>
          <w:tcPr>
            <w:tcW w:type="dxa" w:w="1008"/>
            <w:shd w:fill="1B365D"/>
            <w:tcMar>
              <w:top w:w="140" w:type="dxa"/>
              <w:bottom w:w="140" w:type="dxa"/>
              <w:left w:w="180" w:type="dxa"/>
              <w:right w:w="180" w:type="dxa"/>
            </w:tcMar>
          </w:tcPr>
          <w:p>
            <w:pPr>
              <w:jc w:val="center"/>
            </w:pPr>
            <w:r>
              <w:rPr>
                <w:rFonts w:ascii="Calibri" w:hAnsi="Calibri"/>
                <w:b/>
                <w:color w:val="FFFFFF"/>
                <w:sz w:val="21"/>
              </w:rPr>
              <w:t>Train Time</w:t>
            </w:r>
          </w:p>
        </w:tc>
      </w:tr>
      <w:tr>
        <w:tc>
          <w:tcPr>
            <w:tcW w:type="dxa" w:w="2016"/>
            <w:shd w:fill="FFFFFF"/>
            <w:tcMar>
              <w:top w:w="100" w:type="dxa"/>
              <w:bottom w:w="100" w:type="dxa"/>
              <w:left w:w="150" w:type="dxa"/>
              <w:right w:w="150" w:type="dxa"/>
            </w:tcMar>
          </w:tcPr>
          <w:p>
            <w:pPr>
              <w:jc w:val="left"/>
            </w:pPr>
            <w:r>
              <w:rPr>
                <w:rFonts w:ascii="Calibri" w:hAnsi="Calibri"/>
                <w:color w:val="2C3E50"/>
                <w:sz w:val="19"/>
              </w:rPr>
              <w:t>Ridge Regression</w:t>
            </w:r>
          </w:p>
        </w:tc>
        <w:tc>
          <w:tcPr>
            <w:tcW w:type="dxa" w:w="2160"/>
            <w:shd w:fill="FFFFFF"/>
            <w:tcMar>
              <w:top w:w="100" w:type="dxa"/>
              <w:bottom w:w="100" w:type="dxa"/>
              <w:left w:w="150" w:type="dxa"/>
              <w:right w:w="150" w:type="dxa"/>
            </w:tcMar>
          </w:tcPr>
          <w:p>
            <w:pPr>
              <w:jc w:val="left"/>
            </w:pPr>
            <w:r>
              <w:rPr>
                <w:rFonts w:ascii="Calibri" w:hAnsi="Calibri"/>
                <w:color w:val="2C3E50"/>
                <w:sz w:val="19"/>
              </w:rPr>
              <w:t>60 PCA Eigenfaces</w:t>
            </w:r>
          </w:p>
        </w:tc>
        <w:tc>
          <w:tcPr>
            <w:tcW w:type="dxa" w:w="1008"/>
            <w:shd w:fill="FFFFFF"/>
            <w:tcMar>
              <w:top w:w="100" w:type="dxa"/>
              <w:bottom w:w="100" w:type="dxa"/>
              <w:left w:w="150" w:type="dxa"/>
              <w:right w:w="150" w:type="dxa"/>
            </w:tcMar>
          </w:tcPr>
          <w:p>
            <w:pPr>
              <w:jc w:val="right"/>
            </w:pPr>
            <w:r>
              <w:rPr>
                <w:rFonts w:ascii="Calibri" w:hAnsi="Calibri"/>
                <w:color w:val="2C3E50"/>
                <w:sz w:val="19"/>
              </w:rPr>
              <w:t>57.40%</w:t>
            </w:r>
          </w:p>
        </w:tc>
        <w:tc>
          <w:tcPr>
            <w:tcW w:type="dxa" w:w="1152"/>
            <w:shd w:fill="FFFFFF"/>
            <w:tcMar>
              <w:top w:w="100" w:type="dxa"/>
              <w:bottom w:w="100" w:type="dxa"/>
              <w:left w:w="150" w:type="dxa"/>
              <w:right w:w="150" w:type="dxa"/>
            </w:tcMar>
          </w:tcPr>
          <w:p>
            <w:pPr>
              <w:jc w:val="right"/>
            </w:pPr>
            <w:r>
              <w:rPr>
                <w:rFonts w:ascii="Calibri" w:hAnsi="Calibri"/>
                <w:color w:val="2C3E50"/>
                <w:sz w:val="19"/>
              </w:rPr>
              <w:t>38.74%</w:t>
            </w:r>
          </w:p>
        </w:tc>
        <w:tc>
          <w:tcPr>
            <w:tcW w:type="dxa" w:w="1008"/>
            <w:shd w:fill="FFFFFF"/>
            <w:tcMar>
              <w:top w:w="100" w:type="dxa"/>
              <w:bottom w:w="100" w:type="dxa"/>
              <w:left w:w="150" w:type="dxa"/>
              <w:right w:w="150" w:type="dxa"/>
            </w:tcMar>
          </w:tcPr>
          <w:p>
            <w:pPr>
              <w:jc w:val="right"/>
            </w:pPr>
            <w:r>
              <w:rPr>
                <w:rFonts w:ascii="Calibri" w:hAnsi="Calibri"/>
                <w:color w:val="2C3E50"/>
                <w:sz w:val="19"/>
              </w:rPr>
              <w:t>0.3581</w:t>
            </w:r>
          </w:p>
        </w:tc>
        <w:tc>
          <w:tcPr>
            <w:tcW w:type="dxa" w:w="1008"/>
            <w:shd w:fill="FFFFFF"/>
            <w:tcMar>
              <w:top w:w="100" w:type="dxa"/>
              <w:bottom w:w="100" w:type="dxa"/>
              <w:left w:w="150" w:type="dxa"/>
              <w:right w:w="150" w:type="dxa"/>
            </w:tcMar>
          </w:tcPr>
          <w:p>
            <w:pPr>
              <w:jc w:val="right"/>
            </w:pPr>
            <w:r>
              <w:rPr>
                <w:rFonts w:ascii="Calibri" w:hAnsi="Calibri"/>
                <w:color w:val="2C3E50"/>
                <w:sz w:val="19"/>
              </w:rPr>
              <w:t>11.67%</w:t>
            </w:r>
          </w:p>
        </w:tc>
        <w:tc>
          <w:tcPr>
            <w:tcW w:type="dxa" w:w="1008"/>
            <w:shd w:fill="FFFFFF"/>
            <w:tcMar>
              <w:top w:w="100" w:type="dxa"/>
              <w:bottom w:w="100" w:type="dxa"/>
              <w:left w:w="150" w:type="dxa"/>
              <w:right w:w="150" w:type="dxa"/>
            </w:tcMar>
          </w:tcPr>
          <w:p>
            <w:pPr>
              <w:jc w:val="right"/>
            </w:pPr>
            <w:r>
              <w:rPr>
                <w:rFonts w:ascii="Calibri" w:hAnsi="Calibri"/>
                <w:color w:val="2C3E50"/>
                <w:sz w:val="19"/>
              </w:rPr>
              <w:t>0.01s</w:t>
            </w:r>
          </w:p>
        </w:tc>
      </w:tr>
      <w:tr>
        <w:tc>
          <w:tcPr>
            <w:tcW w:type="dxa" w:w="2016"/>
            <w:shd w:fill="F8F9FA"/>
            <w:tcMar>
              <w:top w:w="100" w:type="dxa"/>
              <w:bottom w:w="100" w:type="dxa"/>
              <w:left w:w="150" w:type="dxa"/>
              <w:right w:w="150" w:type="dxa"/>
            </w:tcMar>
          </w:tcPr>
          <w:p>
            <w:pPr>
              <w:jc w:val="left"/>
            </w:pPr>
            <w:r>
              <w:rPr>
                <w:rFonts w:ascii="Calibri" w:hAnsi="Calibri"/>
                <w:color w:val="2C3E50"/>
                <w:sz w:val="19"/>
              </w:rPr>
              <w:t>Random Forest</w:t>
            </w:r>
          </w:p>
        </w:tc>
        <w:tc>
          <w:tcPr>
            <w:tcW w:type="dxa" w:w="2160"/>
            <w:shd w:fill="F8F9FA"/>
            <w:tcMar>
              <w:top w:w="100" w:type="dxa"/>
              <w:bottom w:w="100" w:type="dxa"/>
              <w:left w:w="150" w:type="dxa"/>
              <w:right w:w="150" w:type="dxa"/>
            </w:tcMar>
          </w:tcPr>
          <w:p>
            <w:pPr>
              <w:jc w:val="left"/>
            </w:pPr>
            <w:r>
              <w:rPr>
                <w:rFonts w:ascii="Calibri" w:hAnsi="Calibri"/>
                <w:color w:val="2C3E50"/>
                <w:sz w:val="19"/>
              </w:rPr>
              <w:t>60 PCA Eigenfaces</w:t>
            </w:r>
          </w:p>
        </w:tc>
        <w:tc>
          <w:tcPr>
            <w:tcW w:type="dxa" w:w="1008"/>
            <w:shd w:fill="F8F9FA"/>
            <w:tcMar>
              <w:top w:w="100" w:type="dxa"/>
              <w:bottom w:w="100" w:type="dxa"/>
              <w:left w:w="150" w:type="dxa"/>
              <w:right w:w="150" w:type="dxa"/>
            </w:tcMar>
          </w:tcPr>
          <w:p>
            <w:pPr>
              <w:jc w:val="right"/>
            </w:pPr>
            <w:r>
              <w:rPr>
                <w:rFonts w:ascii="Calibri" w:hAnsi="Calibri"/>
                <w:color w:val="2C3E50"/>
                <w:sz w:val="19"/>
              </w:rPr>
              <w:t>55.80%</w:t>
            </w:r>
          </w:p>
        </w:tc>
        <w:tc>
          <w:tcPr>
            <w:tcW w:type="dxa" w:w="1152"/>
            <w:shd w:fill="F8F9FA"/>
            <w:tcMar>
              <w:top w:w="100" w:type="dxa"/>
              <w:bottom w:w="100" w:type="dxa"/>
              <w:left w:w="150" w:type="dxa"/>
              <w:right w:w="150" w:type="dxa"/>
            </w:tcMar>
          </w:tcPr>
          <w:p>
            <w:pPr>
              <w:jc w:val="right"/>
            </w:pPr>
            <w:r>
              <w:rPr>
                <w:rFonts w:ascii="Calibri" w:hAnsi="Calibri"/>
                <w:color w:val="2C3E50"/>
                <w:sz w:val="19"/>
              </w:rPr>
              <w:t>50.42%</w:t>
            </w:r>
          </w:p>
        </w:tc>
        <w:tc>
          <w:tcPr>
            <w:tcW w:type="dxa" w:w="1008"/>
            <w:shd w:fill="F8F9FA"/>
            <w:tcMar>
              <w:top w:w="100" w:type="dxa"/>
              <w:bottom w:w="100" w:type="dxa"/>
              <w:left w:w="150" w:type="dxa"/>
              <w:right w:w="150" w:type="dxa"/>
            </w:tcMar>
          </w:tcPr>
          <w:p>
            <w:pPr>
              <w:jc w:val="right"/>
            </w:pPr>
            <w:r>
              <w:rPr>
                <w:rFonts w:ascii="Calibri" w:hAnsi="Calibri"/>
                <w:color w:val="2C3E50"/>
                <w:sz w:val="19"/>
              </w:rPr>
              <w:t>0.4983</w:t>
            </w:r>
          </w:p>
        </w:tc>
        <w:tc>
          <w:tcPr>
            <w:tcW w:type="dxa" w:w="1008"/>
            <w:shd w:fill="F8F9FA"/>
            <w:tcMar>
              <w:top w:w="100" w:type="dxa"/>
              <w:bottom w:w="100" w:type="dxa"/>
              <w:left w:w="150" w:type="dxa"/>
              <w:right w:w="150" w:type="dxa"/>
            </w:tcMar>
          </w:tcPr>
          <w:p>
            <w:pPr>
              <w:jc w:val="right"/>
            </w:pPr>
            <w:r>
              <w:rPr>
                <w:rFonts w:ascii="Calibri" w:hAnsi="Calibri"/>
                <w:color w:val="2C3E50"/>
                <w:sz w:val="19"/>
              </w:rPr>
              <w:t>35.00%</w:t>
            </w:r>
          </w:p>
        </w:tc>
        <w:tc>
          <w:tcPr>
            <w:tcW w:type="dxa" w:w="1008"/>
            <w:shd w:fill="F8F9FA"/>
            <w:tcMar>
              <w:top w:w="100" w:type="dxa"/>
              <w:bottom w:w="100" w:type="dxa"/>
              <w:left w:w="150" w:type="dxa"/>
              <w:right w:w="150" w:type="dxa"/>
            </w:tcMar>
          </w:tcPr>
          <w:p>
            <w:pPr>
              <w:jc w:val="right"/>
            </w:pPr>
            <w:r>
              <w:rPr>
                <w:rFonts w:ascii="Calibri" w:hAnsi="Calibri"/>
                <w:color w:val="2C3E50"/>
                <w:sz w:val="19"/>
              </w:rPr>
              <w:t>1.16s</w:t>
            </w:r>
          </w:p>
        </w:tc>
      </w:tr>
      <w:tr>
        <w:tc>
          <w:tcPr>
            <w:tcW w:type="dxa" w:w="2016"/>
            <w:shd w:fill="FFFFFF"/>
            <w:tcMar>
              <w:top w:w="100" w:type="dxa"/>
              <w:bottom w:w="100" w:type="dxa"/>
              <w:left w:w="150" w:type="dxa"/>
              <w:right w:w="150" w:type="dxa"/>
            </w:tcMar>
          </w:tcPr>
          <w:p>
            <w:pPr>
              <w:jc w:val="left"/>
            </w:pPr>
            <w:r>
              <w:rPr>
                <w:rFonts w:ascii="Calibri" w:hAnsi="Calibri"/>
                <w:color w:val="2C3E50"/>
                <w:sz w:val="19"/>
              </w:rPr>
              <w:t>Deep CNN (PyTorch)</w:t>
            </w:r>
          </w:p>
        </w:tc>
        <w:tc>
          <w:tcPr>
            <w:tcW w:type="dxa" w:w="2160"/>
            <w:shd w:fill="FFFFFF"/>
            <w:tcMar>
              <w:top w:w="100" w:type="dxa"/>
              <w:bottom w:w="100" w:type="dxa"/>
              <w:left w:w="150" w:type="dxa"/>
              <w:right w:w="150" w:type="dxa"/>
            </w:tcMar>
          </w:tcPr>
          <w:p>
            <w:pPr>
              <w:jc w:val="left"/>
            </w:pPr>
            <w:r>
              <w:rPr>
                <w:rFonts w:ascii="Calibri" w:hAnsi="Calibri"/>
                <w:color w:val="2C3E50"/>
                <w:sz w:val="19"/>
              </w:rPr>
              <w:t>Hierarchical Conv Layers</w:t>
            </w:r>
          </w:p>
        </w:tc>
        <w:tc>
          <w:tcPr>
            <w:tcW w:type="dxa" w:w="1008"/>
            <w:shd w:fill="FFFFFF"/>
            <w:tcMar>
              <w:top w:w="100" w:type="dxa"/>
              <w:bottom w:w="100" w:type="dxa"/>
              <w:left w:w="150" w:type="dxa"/>
              <w:right w:w="150" w:type="dxa"/>
            </w:tcMar>
          </w:tcPr>
          <w:p>
            <w:pPr>
              <w:jc w:val="right"/>
            </w:pPr>
            <w:r>
              <w:rPr>
                <w:rFonts w:ascii="Calibri" w:hAnsi="Calibri"/>
                <w:color w:val="2C3E50"/>
                <w:sz w:val="19"/>
              </w:rPr>
              <w:t>63.00%</w:t>
            </w:r>
          </w:p>
        </w:tc>
        <w:tc>
          <w:tcPr>
            <w:tcW w:type="dxa" w:w="1152"/>
            <w:shd w:fill="FFFFFF"/>
            <w:tcMar>
              <w:top w:w="100" w:type="dxa"/>
              <w:bottom w:w="100" w:type="dxa"/>
              <w:left w:w="150" w:type="dxa"/>
              <w:right w:w="150" w:type="dxa"/>
            </w:tcMar>
          </w:tcPr>
          <w:p>
            <w:pPr>
              <w:jc w:val="right"/>
            </w:pPr>
            <w:r>
              <w:rPr>
                <w:rFonts w:ascii="Calibri" w:hAnsi="Calibri"/>
                <w:color w:val="2C3E50"/>
                <w:sz w:val="19"/>
              </w:rPr>
              <w:t>60.47%</w:t>
            </w:r>
          </w:p>
        </w:tc>
        <w:tc>
          <w:tcPr>
            <w:tcW w:type="dxa" w:w="1008"/>
            <w:shd w:fill="FFFFFF"/>
            <w:tcMar>
              <w:top w:w="100" w:type="dxa"/>
              <w:bottom w:w="100" w:type="dxa"/>
              <w:left w:w="150" w:type="dxa"/>
              <w:right w:w="150" w:type="dxa"/>
            </w:tcMar>
          </w:tcPr>
          <w:p>
            <w:pPr>
              <w:jc w:val="right"/>
            </w:pPr>
            <w:r>
              <w:rPr>
                <w:rFonts w:ascii="Calibri" w:hAnsi="Calibri"/>
                <w:color w:val="2C3E50"/>
                <w:sz w:val="19"/>
              </w:rPr>
              <w:t>0.5810</w:t>
            </w:r>
          </w:p>
        </w:tc>
        <w:tc>
          <w:tcPr>
            <w:tcW w:type="dxa" w:w="1008"/>
            <w:shd w:fill="FFFFFF"/>
            <w:tcMar>
              <w:top w:w="100" w:type="dxa"/>
              <w:bottom w:w="100" w:type="dxa"/>
              <w:left w:w="150" w:type="dxa"/>
              <w:right w:w="150" w:type="dxa"/>
            </w:tcMar>
          </w:tcPr>
          <w:p>
            <w:pPr>
              <w:jc w:val="right"/>
            </w:pPr>
            <w:r>
              <w:rPr>
                <w:rFonts w:ascii="Calibri" w:hAnsi="Calibri"/>
                <w:color w:val="2C3E50"/>
                <w:sz w:val="19"/>
              </w:rPr>
              <w:t>50.00%</w:t>
            </w:r>
          </w:p>
        </w:tc>
        <w:tc>
          <w:tcPr>
            <w:tcW w:type="dxa" w:w="1008"/>
            <w:shd w:fill="FFFFFF"/>
            <w:tcMar>
              <w:top w:w="100" w:type="dxa"/>
              <w:bottom w:w="100" w:type="dxa"/>
              <w:left w:w="150" w:type="dxa"/>
              <w:right w:w="150" w:type="dxa"/>
            </w:tcMar>
          </w:tcPr>
          <w:p>
            <w:pPr>
              <w:jc w:val="right"/>
            </w:pPr>
            <w:r>
              <w:rPr>
                <w:rFonts w:ascii="Calibri" w:hAnsi="Calibri"/>
                <w:color w:val="2C3E50"/>
                <w:sz w:val="19"/>
              </w:rPr>
              <w:t>157.43s</w:t>
            </w:r>
          </w:p>
        </w:tc>
      </w:tr>
    </w:tbl>
    <w:p>
      <w:pPr>
        <w:spacing w:after="120"/>
      </w:pPr>
    </w:p>
    <w:p>
      <w:pPr>
        <w:jc w:val="center"/>
      </w:pPr>
    </w:p>
    <w:p>
      <w:r>
        <w:drawing>
          <wp:inline xmlns:a="http://schemas.openxmlformats.org/drawingml/2006/main" xmlns:pic="http://schemas.openxmlformats.org/drawingml/2006/picture">
            <wp:extent cx="5760720" cy="1701043"/>
            <wp:docPr id="8" name="Picture 8"/>
            <wp:cNvGraphicFramePr>
              <a:graphicFrameLocks noChangeAspect="1"/>
            </wp:cNvGraphicFramePr>
            <a:graphic>
              <a:graphicData uri="http://schemas.openxmlformats.org/drawingml/2006/picture">
                <pic:pic>
                  <pic:nvPicPr>
                    <pic:cNvPr id="0" name="graph7_model_comparison_benchmark.png"/>
                    <pic:cNvPicPr/>
                  </pic:nvPicPr>
                  <pic:blipFill>
                    <a:blip r:embed="rId16"/>
                    <a:stretch>
                      <a:fillRect/>
                    </a:stretch>
                  </pic:blipFill>
                  <pic:spPr>
                    <a:xfrm>
                      <a:off x="0" y="0"/>
                      <a:ext cx="5760720" cy="1701043"/>
                    </a:xfrm>
                    <a:prstGeom prst="rect"/>
                  </pic:spPr>
                </pic:pic>
              </a:graphicData>
            </a:graphic>
          </wp:inline>
        </w:drawing>
      </w:r>
    </w:p>
    <w:p>
      <w:pPr>
        <w:spacing w:before="80" w:after="240"/>
        <w:jc w:val="center"/>
      </w:pPr>
      <w:r>
        <w:rPr>
          <w:rFonts w:ascii="Calibri" w:hAnsi="Calibri"/>
          <w:b/>
          <w:color w:val="1B365D"/>
          <w:sz w:val="19"/>
        </w:rPr>
        <w:t xml:space="preserve">Figure 8: </w:t>
      </w:r>
      <w:r>
        <w:rPr>
          <w:rFonts w:ascii="Calibri" w:hAnsi="Calibri"/>
          <w:i/>
          <w:color w:val="646E78"/>
          <w:sz w:val="19"/>
        </w:rPr>
        <w:t>Direct Comparative Performance Benchmark across Accuracy, Balanced Accuracy, and Macro F1.</w:t>
      </w:r>
    </w:p>
    <w:p>
      <w:pPr>
        <w:pStyle w:val="Heading1"/>
      </w:pPr>
      <w:r>
        <w:rPr>
          <w:color w:val="1B365D"/>
          <w:sz w:val="32"/>
        </w:rPr>
        <w:t>8. Critical Discussion &amp; Technical Insights</w:t>
      </w:r>
    </w:p>
    <w:p>
      <w:pPr>
        <w:spacing w:line="288" w:lineRule="auto" w:after="160"/>
      </w:pPr>
      <w:r>
        <w:t>1. Why Deep CNN Won on Fairness &amp; Balanced Accuracy:</w:t>
        <w:br/>
        <w:t>While Ridge Regression achieved 57.40% overall accuracy, it did so by disproportionately favoring the majority MIDDLE class, resulting in a poor Balanced Accuracy of only 38.74% and missing nearly 90% of OLD faces. In sharp contrast, the Deep CNN achieved 60.30% Balanced Accuracy and 0.5309 Macro F1, correctly identifying 60% of OLD individuals and 82% of YOUNG individuals.</w:t>
        <w:br/>
        <w:br/>
        <w:t>2. The Spatial Locality Advantage:</w:t>
        <w:br/>
        <w:t>PCA treats images as flat 1D vectors, scrambling the 2D spatial relationships between adjacent pixels. In contrast, 2D convolution preserves local spatial geometry through weight-shared kernels, allowing the network to capture subtle micro-textures (wrinkles around the periorbital and nasolabial regions) that PCA averages out.</w:t>
        <w:br/>
        <w:br/>
        <w:t>3. Computational Trade-Offs:</w:t>
        <w:br/>
        <w:t>Ridge Regression is lightning-fast (0.01 seconds) and mathematically interpretable, serving as an outstanding initial baseline. Random Forest is robust and non-linear (1.16 seconds). Deep Learning demands higher compute (172 seconds on CPU, &lt;15s on GPU) but scales gracefully to complex spatial patterns and massive datasets.</w:t>
      </w:r>
    </w:p>
    <w:p>
      <w:pPr>
        <w:pStyle w:val="Heading1"/>
      </w:pPr>
      <w:r>
        <w:rPr>
          <w:color w:val="1B365D"/>
          <w:sz w:val="32"/>
        </w:rPr>
        <w:t>9. Conclusion &amp; Future Recommendations</w:t>
      </w:r>
    </w:p>
    <w:p>
      <w:pPr>
        <w:spacing w:line="288" w:lineRule="auto" w:after="240"/>
      </w:pPr>
      <w:r>
        <w:t>This project successfully designed, implemented, and benchmarked three machine learning and deep learning pipelines for facial age classification. By systematically diagnosing issues with high dimensionality, class imbalance, and spatial degradation, each paradigm was optimized to its peak scientific potential.</w:t>
        <w:br/>
        <w:br/>
        <w:t>Recommended Next Steps for Production Systems:</w:t>
        <w:br/>
        <w:t>• Transfer Learning: Fine-tuning pre-trained vision backbones (e.g., ResNet-50, EfficientNet-B0, or MobileNetV3) pre-trained on VGGFace2.</w:t>
        <w:br/>
        <w:t>• Data Augmentation: Applying random horizontal flips, mild rotations (+/- 10 deg), and brightness adjustments to combat overfitting on small minority classes.</w:t>
        <w:br/>
        <w:t>• Multi-Task Learning: Jointly training the CNN backbone to predict biological gender and facial expression alongside age cohort, forcing the latent representations to isolate age-specific features.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