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Performance and Accessibility Report</w:t>
      </w:r>
    </w:p>
    <w:p>
      <w:pPr>
        <w:spacing w:after="240"/>
      </w:pPr>
      <w:r>
        <w:rPr>
          <w:rFonts w:ascii="Aptos" w:hAnsi="Aptos"/>
          <w:b/>
          <w:color w:val="0F766E"/>
          <w:sz w:val="22"/>
        </w:rPr>
        <w:t>NexusFlow  |  YuvaIntern Submission</w:t>
      </w:r>
    </w:p>
    <w:p>
      <w:pPr>
        <w:spacing w:after="160"/>
      </w:pPr>
      <w:r>
        <w:t>This report summarizes the Week 4 review and improvements to the existing NexusFlow frontend. The completed work focused on page performance and accessible presentation, with Lighthouse reporting perfect Accessibility, Best Practices, and SEO scores and a Performance score varying from 91 to 97 across runs.</w:t>
      </w:r>
    </w:p>
    <w:tbl>
      <w:tblPr>
        <w:tblW w:type="auto" w:w="0"/>
        <w:jc w:val="left"/>
        <w:tblLayout w:type="fixed"/>
        <w:tblLook w:firstColumn="1" w:firstRow="1" w:lastColumn="0" w:lastRow="0" w:noHBand="0" w:noVBand="1" w:val="04A0"/>
      </w:tblPr>
      <w:tblGrid>
        <w:gridCol w:w="3816"/>
        <w:gridCol w:w="5400"/>
      </w:tblGrid>
      <w:tr>
        <w:tc>
          <w:tcPr>
            <w:tcW w:type="dxa" w:w="3816"/>
            <w:shd w:fill="12304A"/>
            <w:vAlign w:val="center"/>
          </w:tcPr>
          <w:p>
            <w:pPr>
              <w:spacing w:after="20"/>
            </w:pPr>
            <w:r/>
            <w:r>
              <w:rPr>
                <w:rFonts w:ascii="Aptos" w:hAnsi="Aptos"/>
                <w:b/>
                <w:color w:val="FFFFFF"/>
                <w:sz w:val="18"/>
              </w:rPr>
              <w:t>Lighthouse category</w:t>
            </w:r>
          </w:p>
        </w:tc>
        <w:tc>
          <w:tcPr>
            <w:tcW w:type="dxa" w:w="5400"/>
            <w:shd w:fill="12304A"/>
            <w:vAlign w:val="center"/>
          </w:tcPr>
          <w:p>
            <w:pPr>
              <w:spacing w:after="20"/>
            </w:pPr>
            <w:r/>
            <w:r>
              <w:rPr>
                <w:rFonts w:ascii="Aptos" w:hAnsi="Aptos"/>
                <w:b/>
                <w:color w:val="FFFFFF"/>
                <w:sz w:val="18"/>
              </w:rPr>
              <w:t>Reported result</w:t>
            </w:r>
          </w:p>
        </w:tc>
      </w:tr>
      <w:tr>
        <w:tc>
          <w:tcPr>
            <w:tcW w:type="dxa" w:w="3816"/>
            <w:vAlign w:val="center"/>
          </w:tcPr>
          <w:p>
            <w:pPr>
              <w:spacing w:after="20"/>
            </w:pPr>
            <w:r/>
            <w:r>
              <w:rPr>
                <w:rFonts w:ascii="Aptos" w:hAnsi="Aptos"/>
                <w:b/>
                <w:color w:val="2B3748"/>
                <w:sz w:val="18"/>
              </w:rPr>
              <w:t>Performance</w:t>
            </w:r>
          </w:p>
        </w:tc>
        <w:tc>
          <w:tcPr>
            <w:tcW w:type="dxa" w:w="5400"/>
            <w:vAlign w:val="center"/>
          </w:tcPr>
          <w:p>
            <w:pPr>
              <w:spacing w:after="20"/>
            </w:pPr>
            <w:r/>
            <w:r>
              <w:rPr>
                <w:rFonts w:ascii="Aptos" w:hAnsi="Aptos"/>
                <w:b w:val="0"/>
                <w:color w:val="2B3748"/>
                <w:sz w:val="18"/>
              </w:rPr>
              <w:t>91–97 (varied by run)</w:t>
            </w:r>
          </w:p>
        </w:tc>
      </w:tr>
      <w:tr>
        <w:tc>
          <w:tcPr>
            <w:tcW w:type="dxa" w:w="3816"/>
            <w:shd w:fill="F0F5F7"/>
            <w:vAlign w:val="center"/>
          </w:tcPr>
          <w:p>
            <w:pPr>
              <w:spacing w:after="20"/>
            </w:pPr>
            <w:r/>
            <w:r>
              <w:rPr>
                <w:rFonts w:ascii="Aptos" w:hAnsi="Aptos"/>
                <w:b/>
                <w:color w:val="2B3748"/>
                <w:sz w:val="18"/>
              </w:rPr>
              <w:t>Accessibility</w:t>
            </w:r>
          </w:p>
        </w:tc>
        <w:tc>
          <w:tcPr>
            <w:tcW w:type="dxa" w:w="5400"/>
            <w:shd w:fill="F0F5F7"/>
            <w:vAlign w:val="center"/>
          </w:tcPr>
          <w:p>
            <w:pPr>
              <w:spacing w:after="20"/>
            </w:pPr>
            <w:r/>
            <w:r>
              <w:rPr>
                <w:rFonts w:ascii="Aptos" w:hAnsi="Aptos"/>
                <w:b w:val="0"/>
                <w:color w:val="2B3748"/>
                <w:sz w:val="18"/>
              </w:rPr>
              <w:t>100</w:t>
            </w:r>
          </w:p>
        </w:tc>
      </w:tr>
      <w:tr>
        <w:tc>
          <w:tcPr>
            <w:tcW w:type="dxa" w:w="3816"/>
            <w:vAlign w:val="center"/>
          </w:tcPr>
          <w:p>
            <w:pPr>
              <w:spacing w:after="20"/>
            </w:pPr>
            <w:r/>
            <w:r>
              <w:rPr>
                <w:rFonts w:ascii="Aptos" w:hAnsi="Aptos"/>
                <w:b/>
                <w:color w:val="2B3748"/>
                <w:sz w:val="18"/>
              </w:rPr>
              <w:t>Best Practices</w:t>
            </w:r>
          </w:p>
        </w:tc>
        <w:tc>
          <w:tcPr>
            <w:tcW w:type="dxa" w:w="5400"/>
            <w:vAlign w:val="center"/>
          </w:tcPr>
          <w:p>
            <w:pPr>
              <w:spacing w:after="20"/>
            </w:pPr>
            <w:r/>
            <w:r>
              <w:rPr>
                <w:rFonts w:ascii="Aptos" w:hAnsi="Aptos"/>
                <w:b w:val="0"/>
                <w:color w:val="2B3748"/>
                <w:sz w:val="18"/>
              </w:rPr>
              <w:t>100</w:t>
            </w:r>
          </w:p>
        </w:tc>
      </w:tr>
      <w:tr>
        <w:tc>
          <w:tcPr>
            <w:tcW w:type="dxa" w:w="3816"/>
            <w:shd w:fill="F0F5F7"/>
            <w:vAlign w:val="center"/>
          </w:tcPr>
          <w:p>
            <w:pPr>
              <w:spacing w:after="20"/>
            </w:pPr>
            <w:r/>
            <w:r>
              <w:rPr>
                <w:rFonts w:ascii="Aptos" w:hAnsi="Aptos"/>
                <w:b/>
                <w:color w:val="2B3748"/>
                <w:sz w:val="18"/>
              </w:rPr>
              <w:t>SEO</w:t>
            </w:r>
          </w:p>
        </w:tc>
        <w:tc>
          <w:tcPr>
            <w:tcW w:type="dxa" w:w="5400"/>
            <w:shd w:fill="F0F5F7"/>
            <w:vAlign w:val="center"/>
          </w:tcPr>
          <w:p>
            <w:pPr>
              <w:spacing w:after="20"/>
            </w:pPr>
            <w:r/>
            <w:r>
              <w:rPr>
                <w:rFonts w:ascii="Aptos" w:hAnsi="Aptos"/>
                <w:b w:val="0"/>
                <w:color w:val="2B3748"/>
                <w:sz w:val="18"/>
              </w:rPr>
              <w:t>100</w:t>
            </w:r>
          </w:p>
        </w:tc>
      </w:tr>
    </w:tbl>
    <w:p>
      <w:pPr>
        <w:pStyle w:val="Heading1"/>
      </w:pPr>
      <w:r>
        <w:t>Objective</w:t>
      </w:r>
    </w:p>
    <w:p>
      <w:r>
        <w:t>Improve the performance and accessibility of the existing NexusFlow webpage while keeping the work focused on the project’s current frontend. The Week 4 work reviewed the page, applied targeted optimizations and accessibility corrections, and checked the resulting Lighthouse scores and reported page metrics.</w:t>
      </w:r>
    </w:p>
    <w:p>
      <w:pPr>
        <w:pStyle w:val="Heading1"/>
      </w:pPr>
      <w:r>
        <w:t>Existing Page Audit</w:t>
      </w:r>
    </w:p>
    <w:p>
      <w:r>
        <w:t>The review identified opportunities in font loading and scroll-triggered visual effects, along with accessibility issues involving a generic element’s aria-label and insufficient footer text contrast. Lighthouse’s color-contrast audit identified footer content as a source of accessibility failures. The review also examined the existing frontend files: index.html, style.css, and script.js.</w:t>
      </w:r>
    </w:p>
    <w:p>
      <w:pPr>
        <w:pStyle w:val="Heading1"/>
      </w:pPr>
      <w:r>
        <w:t>Performance Improvements</w:t>
      </w:r>
    </w:p>
    <w:p>
      <w:pPr>
        <w:pStyle w:val="ListBullet"/>
        <w:spacing w:after="40"/>
        <w:ind w:left="331" w:hanging="216"/>
      </w:pPr>
      <w:r>
        <w:t>Optimized Google Fonts loading to reduce avoidable work in the page’s font-loading path.</w:t>
      </w:r>
    </w:p>
    <w:p>
      <w:pPr>
        <w:pStyle w:val="ListBullet"/>
        <w:spacing w:after="40"/>
        <w:ind w:left="331" w:hanging="216"/>
      </w:pPr>
      <w:r>
        <w:t>Refined the scroll-reveal behavior to reduce unnecessary work while elements enter or leave the visible area.</w:t>
      </w:r>
    </w:p>
    <w:p>
      <w:pPr>
        <w:pStyle w:val="ListBullet"/>
        <w:spacing w:after="40"/>
        <w:ind w:left="331" w:hanging="216"/>
      </w:pPr>
      <w:r>
        <w:t>Reviewed page performance with Lighthouse. The reported Largest Contentful Paint was 2.5 seconds, Cumulative Layout Shift was 0.000, and Total Blocking Time was 0 ms.</w:t>
      </w:r>
    </w:p>
    <w:p>
      <w:pPr>
        <w:pStyle w:val="Heading1"/>
      </w:pPr>
      <w:r>
        <w:t>Accessibility Improvements</w:t>
      </w:r>
    </w:p>
    <w:p>
      <w:pPr>
        <w:pStyle w:val="ListBullet"/>
        <w:spacing w:after="40"/>
        <w:ind w:left="331" w:hanging="216"/>
      </w:pPr>
      <w:r>
        <w:t>Removed a prohibited generic-div aria-label so assistive technology is not given an inappropriate label on a generic container.</w:t>
      </w:r>
    </w:p>
    <w:p>
      <w:pPr>
        <w:pStyle w:val="ListBullet"/>
        <w:spacing w:after="40"/>
        <w:ind w:left="331" w:hanging="216"/>
      </w:pPr>
      <w:r>
        <w:t>Corrected footer badge and copyright text contrast, and improved the footer links’ contrast treatment as part of the footer review.</w:t>
      </w:r>
    </w:p>
    <w:p>
      <w:pPr>
        <w:pStyle w:val="ListBullet"/>
        <w:spacing w:after="40"/>
        <w:ind w:left="331" w:hanging="216"/>
      </w:pPr>
      <w:r>
        <w:t>Removed the footer’s content-visibility behavior associated with the flagged footer-link contrast warnings in Lighthouse.</w:t>
      </w:r>
    </w:p>
    <w:p>
      <w:pPr>
        <w:pStyle w:val="ListBullet"/>
        <w:spacing w:after="40"/>
        <w:ind w:left="331" w:hanging="216"/>
      </w:pPr>
      <w:r>
        <w:t>Rechecked footer text/background pairs with the WCAG contrast formula. The verified ratios were 5.47:1 for the badge, 7.34:1 for copyright text, and 6.96:1 for footer links; each meets the 4.5:1 AA threshold for normal text.</w:t>
      </w:r>
    </w:p>
    <w:p>
      <w:pPr>
        <w:pStyle w:val="Heading1"/>
      </w:pPr>
      <w:r>
        <w:t>Lighthouse and Testing Results</w:t>
      </w:r>
    </w:p>
    <w:p>
      <w:r>
        <w:t>After the changes, Lighthouse reported Accessibility 100, Best Practices 100, and SEO 100. Performance ranged from 91 to 97 depending on the run. The verified page metrics provided for this report were LCP 2.5 s, CLS 0.000, and TBT 0 ms. The contrast verification covered the footer text pairs listed above. Performance variation is reported as a range because Lighthouse results differed between runs.</w:t>
      </w:r>
    </w:p>
    <w:p>
      <w:pPr>
        <w:pStyle w:val="Heading1"/>
      </w:pPr>
      <w:r>
        <w:t>Code Cleanliness</w:t>
      </w:r>
    </w:p>
    <w:p>
      <w:r>
        <w:t>The Week 4 changes were confined to the existing frontend files index.html, style.css, and script.js. The work addressed the identified font-loading, scroll-reveal, and accessibility items without adding unrelated features. No commit or push is included in this report.</w:t>
      </w:r>
    </w:p>
    <w:p>
      <w:pPr>
        <w:pStyle w:val="Heading1"/>
      </w:pPr>
      <w:r>
        <w:t>Before and After Summary</w:t>
      </w:r>
    </w:p>
    <w:tbl>
      <w:tblPr>
        <w:tblW w:type="auto" w:w="0"/>
        <w:jc w:val="left"/>
        <w:tblLayout w:type="fixed"/>
        <w:tblLook w:firstColumn="1" w:firstRow="1" w:lastColumn="0" w:lastRow="0" w:noHBand="0" w:noVBand="1" w:val="04A0"/>
      </w:tblPr>
      <w:tblGrid>
        <w:gridCol w:w="4608"/>
        <w:gridCol w:w="4608"/>
      </w:tblGrid>
      <w:tr>
        <w:tc>
          <w:tcPr>
            <w:tcW w:type="dxa" w:w="4997"/>
            <w:shd w:fill="12304A"/>
            <w:vAlign w:val="center"/>
          </w:tcPr>
          <w:p>
            <w:pPr>
              <w:spacing w:after="20"/>
            </w:pPr>
            <w:r/>
            <w:r>
              <w:rPr>
                <w:rFonts w:ascii="Aptos" w:hAnsi="Aptos"/>
                <w:b/>
                <w:color w:val="FFFFFF"/>
                <w:sz w:val="18"/>
              </w:rPr>
              <w:t>Before Week 4</w:t>
            </w:r>
          </w:p>
        </w:tc>
        <w:tc>
          <w:tcPr>
            <w:tcW w:type="dxa" w:w="4997"/>
            <w:shd w:fill="12304A"/>
            <w:vAlign w:val="center"/>
          </w:tcPr>
          <w:p>
            <w:pPr>
              <w:spacing w:after="20"/>
            </w:pPr>
            <w:r/>
            <w:r>
              <w:rPr>
                <w:rFonts w:ascii="Aptos" w:hAnsi="Aptos"/>
                <w:b/>
                <w:color w:val="FFFFFF"/>
                <w:sz w:val="18"/>
              </w:rPr>
              <w:t>After Week 4</w:t>
            </w:r>
          </w:p>
        </w:tc>
      </w:tr>
      <w:tr>
        <w:tc>
          <w:tcPr>
            <w:tcW w:type="dxa" w:w="4608"/>
            <w:shd w:fill="F0F5F7"/>
            <w:vAlign w:val="center"/>
          </w:tcPr>
          <w:p>
            <w:pPr>
              <w:spacing w:after="20"/>
            </w:pPr>
            <w:r/>
            <w:r>
              <w:rPr>
                <w:rFonts w:ascii="Aptos" w:hAnsi="Aptos"/>
                <w:b w:val="0"/>
                <w:color w:val="2B3748"/>
                <w:sz w:val="17"/>
              </w:rPr>
              <w:t>Audit identified font-loading and scroll-reveal opportunities.</w:t>
            </w:r>
          </w:p>
        </w:tc>
        <w:tc>
          <w:tcPr>
            <w:tcW w:type="dxa" w:w="4608"/>
            <w:shd w:fill="F0F5F7"/>
            <w:vAlign w:val="center"/>
          </w:tcPr>
          <w:p>
            <w:pPr>
              <w:spacing w:after="20"/>
            </w:pPr>
            <w:r/>
            <w:r>
              <w:rPr>
                <w:rFonts w:ascii="Aptos" w:hAnsi="Aptos"/>
                <w:b w:val="0"/>
                <w:color w:val="2B3748"/>
                <w:sz w:val="17"/>
              </w:rPr>
              <w:t>Google Fonts loading and scroll-reveal behavior were optimized.</w:t>
            </w:r>
          </w:p>
        </w:tc>
      </w:tr>
      <w:tr>
        <w:tc>
          <w:tcPr>
            <w:tcW w:type="dxa" w:w="4608"/>
            <w:vAlign w:val="center"/>
          </w:tcPr>
          <w:p>
            <w:pPr>
              <w:spacing w:after="20"/>
            </w:pPr>
            <w:r/>
            <w:r>
              <w:rPr>
                <w:rFonts w:ascii="Aptos" w:hAnsi="Aptos"/>
                <w:b w:val="0"/>
                <w:color w:val="2B3748"/>
                <w:sz w:val="17"/>
              </w:rPr>
              <w:t>Generic container had an inappropriate aria-label; footer contrast was flagged.</w:t>
            </w:r>
          </w:p>
        </w:tc>
        <w:tc>
          <w:tcPr>
            <w:tcW w:type="dxa" w:w="4608"/>
            <w:vAlign w:val="center"/>
          </w:tcPr>
          <w:p>
            <w:pPr>
              <w:spacing w:after="20"/>
            </w:pPr>
            <w:r/>
            <w:r>
              <w:rPr>
                <w:rFonts w:ascii="Aptos" w:hAnsi="Aptos"/>
                <w:b w:val="0"/>
                <w:color w:val="2B3748"/>
                <w:sz w:val="17"/>
              </w:rPr>
              <w:t>Generic-div aria-label was removed and footer contrast corrected.</w:t>
            </w:r>
          </w:p>
        </w:tc>
      </w:tr>
      <w:tr>
        <w:tc>
          <w:tcPr>
            <w:tcW w:type="dxa" w:w="4608"/>
            <w:shd w:fill="F0F5F7"/>
            <w:vAlign w:val="center"/>
          </w:tcPr>
          <w:p>
            <w:pPr>
              <w:spacing w:after="20"/>
            </w:pPr>
            <w:r/>
            <w:r>
              <w:rPr>
                <w:rFonts w:ascii="Aptos" w:hAnsi="Aptos"/>
                <w:b w:val="0"/>
                <w:color w:val="2B3748"/>
                <w:sz w:val="17"/>
              </w:rPr>
              <w:t>Accessibility score was 96 in the earlier audit.</w:t>
            </w:r>
          </w:p>
        </w:tc>
        <w:tc>
          <w:tcPr>
            <w:tcW w:type="dxa" w:w="4608"/>
            <w:shd w:fill="F0F5F7"/>
            <w:vAlign w:val="center"/>
          </w:tcPr>
          <w:p>
            <w:pPr>
              <w:spacing w:after="20"/>
            </w:pPr>
            <w:r/>
            <w:r>
              <w:rPr>
                <w:rFonts w:ascii="Aptos" w:hAnsi="Aptos"/>
                <w:b w:val="0"/>
                <w:color w:val="2B3748"/>
                <w:sz w:val="17"/>
              </w:rPr>
              <w:t>Accessibility 100; Best Practices 100; SEO 100.</w:t>
            </w:r>
          </w:p>
        </w:tc>
      </w:tr>
      <w:tr>
        <w:tc>
          <w:tcPr>
            <w:tcW w:type="dxa" w:w="4608"/>
            <w:vAlign w:val="center"/>
          </w:tcPr>
          <w:p>
            <w:pPr>
              <w:spacing w:after="20"/>
            </w:pPr>
            <w:r/>
            <w:r>
              <w:rPr>
                <w:rFonts w:ascii="Aptos" w:hAnsi="Aptos"/>
                <w:b w:val="0"/>
                <w:color w:val="2B3748"/>
                <w:sz w:val="17"/>
              </w:rPr>
              <w:t>No final performance range or page metrics recorded in the earlier snapshot.</w:t>
            </w:r>
          </w:p>
        </w:tc>
        <w:tc>
          <w:tcPr>
            <w:tcW w:type="dxa" w:w="4608"/>
            <w:vAlign w:val="center"/>
          </w:tcPr>
          <w:p>
            <w:pPr>
              <w:spacing w:after="20"/>
            </w:pPr>
            <w:r/>
            <w:r>
              <w:rPr>
                <w:rFonts w:ascii="Aptos" w:hAnsi="Aptos"/>
                <w:b w:val="0"/>
                <w:color w:val="2B3748"/>
                <w:sz w:val="17"/>
              </w:rPr>
              <w:t>Performance 91–97 by run; LCP 2.5 s, CLS 0.000, TBT 0 ms.</w:t>
            </w:r>
          </w:p>
        </w:tc>
      </w:tr>
    </w:tbl>
    <w:p>
      <w:pPr>
        <w:pStyle w:val="Heading1"/>
      </w:pPr>
      <w:r>
        <w:t>Conclusion</w:t>
      </w:r>
    </w:p>
    <w:p>
      <w:r>
        <w:t>Week 4 completed a focused performance and accessibility improvement pass on NexusFlow. The final reported Lighthouse scores were 100 for Accessibility, Best Practices, and SEO, with Performance ranging from 91 to 97 across runs. The reported LCP, CLS, and TBT values were 2.5 s, 0.000, and 0 ms respectively. The work is reflected in index.html, style.css, and script.js and is ready for review as the Week 4 submission report.</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jc w:val="right"/>
    </w:pPr>
    <w:r>
      <w:rPr>
        <w:rFonts w:ascii="Aptos" w:hAnsi="Aptos"/>
        <w:color w:val="64748B"/>
        <w:sz w:val="16"/>
      </w:rPr>
      <w:t>NexusFlow  |  Week 4  •  YuvaIntern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B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2304A"/>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F766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Performance and Accessibility Report</dc:title>
  <dc:subject>NexusFlow YuvaIntern Week 4 submission</dc:subject>
  <dc:creator>NexusFlow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