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400"/>
      </w:pPr>
      <w:r>
        <w:rPr>
          <w:rFonts w:ascii="Calibri" w:cs="Arial" w:eastAsia="Calibri" w:hAnsi="Calibri"/>
          <w:b/>
          <w:bCs/>
          <w:color w:val="2F7D5B"/>
          <w:sz w:val="22"/>
          <w:szCs w:val="22"/>
          <w:rtl/>
        </w:rPr>
        <w:t xml:space="preserve">مراجعة أدبية · مشروع بصمتي (</w:t>
      </w:r>
      <w:r>
        <w:rPr>
          <w:rFonts w:ascii="Calibri" w:cs="Arial" w:eastAsia="Calibri" w:hAnsi="Calibri"/>
          <w:b/>
          <w:bCs/>
          <w:color w:val="2F7D5B"/>
          <w:sz w:val="22"/>
          <w:szCs w:val="22"/>
        </w:rPr>
        <w:t xml:space="preserve">Basmati)</w:t>
      </w:r>
    </w:p>
    <w:p>
      <w:pPr>
        <w:bidi/>
        <w:spacing w:after="200"/>
      </w:pPr>
      <w:r>
        <w:rPr>
          <w:rFonts w:ascii="Calibri" w:cs="Arial" w:eastAsia="Calibri" w:hAnsi="Calibri"/>
          <w:b/>
          <w:bCs/>
          <w:color w:val="14302A"/>
          <w:sz w:val="56"/>
          <w:szCs w:val="56"/>
          <w:rtl/>
        </w:rPr>
        <w:t xml:space="preserve">قياس البصمة الكربونية للمنشآت التعليمية</w:t>
      </w:r>
    </w:p>
    <w:p>
      <w:pPr>
        <w:bidi/>
        <w:spacing w:after="480" w:line="320"/>
      </w:pPr>
      <w:r>
        <w:rPr>
          <w:rFonts w:ascii="Calibri" w:cs="Arial" w:eastAsia="Calibri" w:hAnsi="Calibri"/>
          <w:sz w:val="28"/>
          <w:szCs w:val="28"/>
          <w:rtl/>
        </w:rPr>
        <w:t xml:space="preserve">الأبحاث العلمية 2020–2026 عن قياس انبعاثات غازات الاحتباس الحراري في الجامعات والكليات والمدارس، في إطار التحول الأخضر لخفض التلوث والاحتباس الحراري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val="false"/>
        </w:trPr>
        <w:tc>
          <w:tcPr>
            <w:tcW w:type="dxa" w:w="23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عدد المصادر</w:t>
            </w:r>
          </w:p>
        </w:tc>
        <w:tc>
          <w:tcPr>
            <w:tcW w:type="dxa" w:w="7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40 مصدرًا: 25 متخصصة في قياس بصمة المنشآت التعليمية والمباني الحكومية، و2 للأهداف والبيانات الوطنية، و13 للتقنيات التي يستخدمها المشروع</w:t>
            </w:r>
          </w:p>
        </w:tc>
      </w:tr>
      <w:tr>
        <w:trPr>
          <w:cantSplit/>
          <w:tblHeader w:val="false"/>
        </w:trPr>
        <w:tc>
          <w:tcPr>
            <w:tcW w:type="dxa" w:w="23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الفترة</w:t>
            </w:r>
          </w:p>
        </w:tc>
        <w:tc>
          <w:tcPr>
            <w:tcW w:type="dxa" w:w="7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2020–2026، وكل سنة فيها ممثلة ببحث واحد على الأقل</w:t>
            </w:r>
          </w:p>
        </w:tc>
      </w:tr>
      <w:tr>
        <w:trPr>
          <w:cantSplit/>
          <w:tblHeader w:val="false"/>
        </w:trPr>
        <w:tc>
          <w:tcPr>
            <w:tcW w:type="dxa" w:w="23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التركيز</w:t>
            </w:r>
          </w:p>
        </w:tc>
        <w:tc>
          <w:tcPr>
            <w:tcW w:type="dxa" w:w="7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كيف تُقاس بصمة الجامعة أو الكلية أو المدرسة: المعايير، والنطاقات، وطرق الحساب، والبيانات، والنتائج الفعلية</w:t>
            </w:r>
          </w:p>
        </w:tc>
      </w:tr>
      <w:tr>
        <w:trPr>
          <w:cantSplit/>
          <w:tblHeader w:val="false"/>
        </w:trPr>
        <w:tc>
          <w:tcPr>
            <w:tcW w:type="dxa" w:w="23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من مصر</w:t>
            </w:r>
          </w:p>
        </w:tc>
        <w:tc>
          <w:tcPr>
            <w:tcW w:type="dxa" w:w="7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جامعة بورسعيد (2026) [22]، ومراجعة في مجلة جامعة عين شمس (2022) [9]، ومباني الجامعات المصرية (2024) [23]، والمباني الحكومية في القاهرة (2025) [24]</w:t>
            </w:r>
          </w:p>
        </w:tc>
      </w:tr>
      <w:tr>
        <w:trPr>
          <w:cantSplit/>
          <w:tblHeader w:val="false"/>
        </w:trPr>
        <w:tc>
          <w:tcPr>
            <w:tcW w:type="dxa" w:w="23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الروابط</w:t>
            </w:r>
          </w:p>
        </w:tc>
        <w:tc>
          <w:tcPr>
            <w:tcW w:type="dxa" w:w="7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لكل بحث رابط تحميل، والملحق (أ) يجمعها كلها</w:t>
            </w:r>
          </w:p>
        </w:tc>
      </w:tr>
    </w:tbl>
    <w:p>
      <w:pPr>
        <w:pStyle w:val="Heading1"/>
        <w:pageBreakBefore/>
        <w:bidi/>
      </w:pPr>
      <w:r>
        <w:rPr>
          <w:rFonts w:ascii="Calibri" w:cs="Arial" w:eastAsia="Calibri" w:hAnsi="Calibri"/>
          <w:rtl/>
        </w:rPr>
        <w:t xml:space="preserve">1. مقدمة: التحول الأخضر ولماذا المنشآت التعليمية</w:t>
      </w:r>
    </w:p>
    <w:p>
      <w:pPr>
        <w:bidi/>
        <w:spacing w:after="120" w:line="300"/>
      </w:pPr>
      <w:r>
        <w:rPr>
          <w:rFonts w:ascii="Calibri" w:cs="Arial" w:eastAsia="Calibri" w:hAnsi="Calibri"/>
          <w:rtl/>
        </w:rPr>
        <w:t xml:space="preserve">يتجه العالم إلى التحول الأخضر لخفض انبعاثات غازات الاحتباس الحراري والحد من الاحترار العالمي عند 1.5 درجة مئوية. ويتطلب ذلك أن ينخفض متوسط بصمة نمط حياة الفرد إلى نحو 2.5 طن </w:t>
      </w:r>
      <w:r>
        <w:rPr>
          <w:rFonts w:ascii="Calibri" w:cs="Arial" w:eastAsia="Calibri" w:hAnsi="Calibri"/>
        </w:rPr>
        <w:t xml:space="preserve">CO₂e</w:t>
      </w:r>
      <w:r>
        <w:rPr>
          <w:rFonts w:ascii="Calibri" w:cs="Arial" w:eastAsia="Calibri" w:hAnsi="Calibri"/>
          <w:rtl/>
        </w:rPr>
        <w:t xml:space="preserve"> سنويًا بحلول 2030 ثم 0.7 طن بحلول 2050 [26]. وفي 2023 كان نصيب الفرد في مصر نحو 3.4 طن ومتوسط العالم نحو 6.6 طن [27].</w:t>
      </w:r>
    </w:p>
    <w:p>
      <w:pPr>
        <w:bidi/>
        <w:spacing w:after="120" w:line="300"/>
      </w:pPr>
      <w:r>
        <w:rPr>
          <w:rFonts w:ascii="Calibri" w:cs="Arial" w:eastAsia="Calibri" w:hAnsi="Calibri"/>
          <w:rtl/>
        </w:rPr>
        <w:t xml:space="preserve">والقاعدة الأولى في أي خفض هي: </w:t>
      </w:r>
      <w:r>
        <w:rPr>
          <w:rFonts w:ascii="Calibri" w:cs="Arial" w:eastAsia="Calibri" w:hAnsi="Calibri"/>
          <w:b/>
          <w:bCs/>
          <w:color w:val="14302A"/>
          <w:rtl/>
        </w:rPr>
        <w:t xml:space="preserve">ما لا يُقاس لا يمكن إدارته.</w:t>
      </w:r>
      <w:r>
        <w:rPr>
          <w:rFonts w:ascii="Calibri" w:cs="Arial" w:eastAsia="Calibri" w:hAnsi="Calibri"/>
          <w:rtl/>
        </w:rPr>
        <w:t xml:space="preserve"> لذلك أصبح قياس البصمة الكربونية خطوة أساسية في استراتيجيات المؤسسات للوصول إلى الحياد الكربوني [15، 17].</w:t>
      </w:r>
    </w:p>
    <w:p>
      <w:pPr>
        <w:bidi/>
        <w:spacing w:after="120" w:line="300"/>
      </w:pPr>
      <w:r>
        <w:rPr>
          <w:rFonts w:ascii="Calibri" w:cs="Arial" w:eastAsia="Calibri" w:hAnsi="Calibri"/>
          <w:b/>
          <w:bCs/>
          <w:color w:val="14302A"/>
          <w:rtl/>
        </w:rPr>
        <w:t xml:space="preserve">لماذا المنشآت التعليمية تحديدًا؟</w:t>
      </w:r>
    </w:p>
    <w:p>
      <w:pPr>
        <w:pStyle w:val="ListParagraph"/>
        <w:numPr>
          <w:ilvl w:val="0"/>
          <w:numId w:val="2"/>
        </w:numPr>
        <w:bidi/>
        <w:spacing w:after="60" w:line="290"/>
      </w:pPr>
      <w:r>
        <w:rPr>
          <w:rFonts w:ascii="Calibri" w:cs="Arial" w:eastAsia="Calibri" w:hAnsi="Calibri"/>
          <w:b/>
          <w:bCs/>
          <w:color w:val="14302A"/>
          <w:rtl/>
        </w:rPr>
        <w:t xml:space="preserve">مبانٍ كبيرة تستهلك طاقة كثيفة:</w:t>
      </w:r>
      <w:r>
        <w:rPr>
          <w:rFonts w:ascii="Calibri" w:cs="Arial" w:eastAsia="Calibri" w:hAnsi="Calibri"/>
          <w:rtl/>
        </w:rPr>
        <w:t xml:space="preserve"> معامل وحواسب وتكييف وإضاءة تعمل لساعات طويلة [23، 24].</w:t>
      </w:r>
    </w:p>
    <w:p>
      <w:pPr>
        <w:pStyle w:val="ListParagraph"/>
        <w:numPr>
          <w:ilvl w:val="0"/>
          <w:numId w:val="2"/>
        </w:numPr>
        <w:bidi/>
        <w:spacing w:after="60" w:line="290"/>
      </w:pPr>
      <w:r>
        <w:rPr>
          <w:rFonts w:ascii="Calibri" w:cs="Arial" w:eastAsia="Calibri" w:hAnsi="Calibri"/>
          <w:b/>
          <w:bCs/>
          <w:color w:val="14302A"/>
          <w:rtl/>
        </w:rPr>
        <w:t xml:space="preserve">آلاف الأشخاص يتنقلون يوميًا:</w:t>
      </w:r>
      <w:r>
        <w:rPr>
          <w:rFonts w:ascii="Calibri" w:cs="Arial" w:eastAsia="Calibri" w:hAnsi="Calibri"/>
          <w:rtl/>
        </w:rPr>
        <w:t xml:space="preserve"> وتنقل الطلاب والعاملين غالبًا هو أكبر بند في بصمة الجامعة [13، 14، 22].</w:t>
      </w:r>
    </w:p>
    <w:p>
      <w:pPr>
        <w:pStyle w:val="ListParagraph"/>
        <w:numPr>
          <w:ilvl w:val="0"/>
          <w:numId w:val="2"/>
        </w:numPr>
        <w:bidi/>
        <w:spacing w:after="60" w:line="290"/>
      </w:pPr>
      <w:r>
        <w:rPr>
          <w:rFonts w:ascii="Calibri" w:cs="Arial" w:eastAsia="Calibri" w:hAnsi="Calibri"/>
          <w:b/>
          <w:bCs/>
          <w:color w:val="14302A"/>
          <w:rtl/>
        </w:rPr>
        <w:t xml:space="preserve">دور القدوة والتعليم:</w:t>
      </w:r>
      <w:r>
        <w:rPr>
          <w:rFonts w:ascii="Calibri" w:cs="Arial" w:eastAsia="Calibri" w:hAnsi="Calibri"/>
          <w:rtl/>
        </w:rPr>
        <w:t xml:space="preserve"> الجامعات والمدارس تخرّج الأجيال القادمة وتبني ثقافة الاستدامة، فقياسها لبصمتها رسالة تعليمية في حد ذاته [15، 20].</w:t>
      </w:r>
    </w:p>
    <w:p>
      <w:pPr>
        <w:pStyle w:val="ListParagraph"/>
        <w:numPr>
          <w:ilvl w:val="0"/>
          <w:numId w:val="2"/>
        </w:numPr>
        <w:bidi/>
        <w:spacing w:after="60" w:line="290"/>
      </w:pPr>
      <w:r>
        <w:rPr>
          <w:rFonts w:ascii="Calibri" w:cs="Arial" w:eastAsia="Calibri" w:hAnsi="Calibri"/>
          <w:b/>
          <w:bCs/>
          <w:color w:val="14302A"/>
          <w:rtl/>
        </w:rPr>
        <w:t xml:space="preserve">التصنيفات الدولية:</w:t>
      </w:r>
      <w:r>
        <w:rPr>
          <w:rFonts w:ascii="Calibri" w:cs="Arial" w:eastAsia="Calibri" w:hAnsi="Calibri"/>
          <w:rtl/>
        </w:rPr>
        <w:t xml:space="preserve"> تصنيف </w:t>
      </w:r>
      <w:r>
        <w:rPr>
          <w:rFonts w:ascii="Calibri" w:cs="Arial" w:eastAsia="Calibri" w:hAnsi="Calibri"/>
        </w:rPr>
        <w:t xml:space="preserve">UI GreenMetric</w:t>
      </w:r>
      <w:r>
        <w:rPr>
          <w:rFonts w:ascii="Calibri" w:cs="Arial" w:eastAsia="Calibri" w:hAnsi="Calibri"/>
          <w:rtl/>
        </w:rPr>
        <w:t xml:space="preserve"> للجامعات الخضراء يعطي معيار «الطاقة وتغير المناخ» أعلى وزن (21%)، ومن مؤشراته إجمالي البصمة الكربونية مقسومًا على عدد أفراد الحرم.</w:t>
      </w:r>
    </w:p>
    <w:p>
      <w:pPr>
        <w:bidi/>
        <w:spacing w:after="120" w:line="300"/>
      </w:pPr>
      <w:r>
        <w:rPr>
          <w:rFonts w:ascii="Calibri" w:cs="Arial" w:eastAsia="Calibri" w:hAnsi="Calibri"/>
          <w:rtl/>
        </w:rPr>
        <w:t xml:space="preserve">تجمع هذه المراجعة الأبحاث المنشورة بين 2020 و2026 عن </w:t>
      </w:r>
      <w:r>
        <w:rPr>
          <w:rFonts w:ascii="Calibri" w:cs="Arial" w:eastAsia="Calibri" w:hAnsi="Calibri"/>
          <w:b/>
          <w:bCs/>
          <w:color w:val="14302A"/>
          <w:rtl/>
        </w:rPr>
        <w:t xml:space="preserve">كيفية قياس</w:t>
      </w:r>
      <w:r>
        <w:rPr>
          <w:rFonts w:ascii="Calibri" w:cs="Arial" w:eastAsia="Calibri" w:hAnsi="Calibri"/>
          <w:rtl/>
        </w:rPr>
        <w:t xml:space="preserve"> بصمة الجامعات والكليات والمدارس، وتستخلص منها منهجية يطبقها مشروع «بصمتي» على دور قسم الحاسبات كمنشأة حكومية.</w:t>
      </w:r>
    </w:p>
    <w:p>
      <w:pPr>
        <w:pStyle w:val="Heading1"/>
        <w:bidi/>
      </w:pPr>
      <w:r>
        <w:rPr>
          <w:rFonts w:ascii="Calibri" w:cs="Arial" w:eastAsia="Calibri" w:hAnsi="Calibri"/>
          <w:rtl/>
        </w:rPr>
        <w:t xml:space="preserve">2. مفاهيم أساسية</w:t>
      </w:r>
    </w:p>
    <w:p>
      <w:pPr>
        <w:pStyle w:val="ListParagraph"/>
        <w:numPr>
          <w:ilvl w:val="0"/>
          <w:numId w:val="2"/>
        </w:numPr>
        <w:bidi/>
        <w:spacing w:after="60" w:line="290"/>
      </w:pPr>
      <w:r>
        <w:rPr>
          <w:rFonts w:ascii="Calibri" w:cs="Arial" w:eastAsia="Calibri" w:hAnsi="Calibri"/>
          <w:b/>
          <w:bCs/>
          <w:color w:val="14302A"/>
          <w:rtl/>
        </w:rPr>
        <w:t xml:space="preserve">البصمة الكربونية (</w:t>
      </w:r>
      <w:r>
        <w:rPr>
          <w:rFonts w:ascii="Calibri" w:cs="Arial" w:eastAsia="Calibri" w:hAnsi="Calibri"/>
          <w:b/>
          <w:bCs/>
          <w:color w:val="14302A"/>
        </w:rPr>
        <w:t xml:space="preserve">Carbon footprint):</w:t>
      </w:r>
      <w:r>
        <w:rPr>
          <w:rFonts w:ascii="Calibri" w:cs="Arial" w:eastAsia="Calibri" w:hAnsi="Calibri"/>
          <w:rtl/>
        </w:rPr>
        <w:t xml:space="preserve"> إجمالي غازات الاحتباس الحراري الناتجة عن مؤسسة أو شخص أو منتج خلال فترة، بوحدة مكافئ ثاني أكسيد الكربون (</w:t>
      </w:r>
      <w:r>
        <w:rPr>
          <w:rFonts w:ascii="Calibri" w:cs="Arial" w:eastAsia="Calibri" w:hAnsi="Calibri"/>
        </w:rPr>
        <w:t xml:space="preserve">CO₂e).</w:t>
      </w:r>
    </w:p>
    <w:p>
      <w:pPr>
        <w:pStyle w:val="ListParagraph"/>
        <w:numPr>
          <w:ilvl w:val="0"/>
          <w:numId w:val="2"/>
        </w:numPr>
        <w:bidi/>
        <w:spacing w:after="60" w:line="290"/>
      </w:pPr>
      <w:r>
        <w:rPr>
          <w:rFonts w:ascii="Calibri" w:cs="Arial" w:eastAsia="Calibri" w:hAnsi="Calibri"/>
          <w:b/>
          <w:bCs/>
          <w:color w:val="14302A"/>
          <w:rtl/>
        </w:rPr>
        <w:t xml:space="preserve">مكافئ ثاني أكسيد الكربون (</w:t>
      </w:r>
      <w:r>
        <w:rPr>
          <w:rFonts w:ascii="Calibri" w:cs="Arial" w:eastAsia="Calibri" w:hAnsi="Calibri"/>
          <w:b/>
          <w:bCs/>
          <w:color w:val="14302A"/>
        </w:rPr>
        <w:t xml:space="preserve">CO₂e):</w:t>
      </w:r>
      <w:r>
        <w:rPr>
          <w:rFonts w:ascii="Calibri" w:cs="Arial" w:eastAsia="Calibri" w:hAnsi="Calibri"/>
          <w:rtl/>
        </w:rPr>
        <w:t xml:space="preserve"> تُحوّل الغازات الأخرى إلى ما يعادلها من </w:t>
      </w:r>
      <w:r>
        <w:rPr>
          <w:rFonts w:ascii="Calibri" w:cs="Arial" w:eastAsia="Calibri" w:hAnsi="Calibri"/>
        </w:rPr>
        <w:t xml:space="preserve">CO₂</w:t>
      </w:r>
      <w:r>
        <w:rPr>
          <w:rFonts w:ascii="Calibri" w:cs="Arial" w:eastAsia="Calibri" w:hAnsi="Calibri"/>
          <w:rtl/>
        </w:rPr>
        <w:t xml:space="preserve"> بمعامل الاحترار العالمي (</w:t>
      </w:r>
      <w:r>
        <w:rPr>
          <w:rFonts w:ascii="Calibri" w:cs="Arial" w:eastAsia="Calibri" w:hAnsi="Calibri"/>
        </w:rPr>
        <w:t xml:space="preserve">GWP)</w:t>
      </w:r>
      <w:r>
        <w:rPr>
          <w:rFonts w:ascii="Calibri" w:cs="Arial" w:eastAsia="Calibri" w:hAnsi="Calibri"/>
          <w:rtl/>
        </w:rPr>
        <w:t xml:space="preserve">؛ مثلًا وفق تقرير </w:t>
      </w:r>
      <w:r>
        <w:rPr>
          <w:rFonts w:ascii="Calibri" w:cs="Arial" w:eastAsia="Calibri" w:hAnsi="Calibri"/>
        </w:rPr>
        <w:t xml:space="preserve">IPCC</w:t>
      </w:r>
      <w:r>
        <w:rPr>
          <w:rFonts w:ascii="Calibri" w:cs="Arial" w:eastAsia="Calibri" w:hAnsi="Calibri"/>
          <w:rtl/>
        </w:rPr>
        <w:t xml:space="preserve"> الخامس على مدى 100 سنة: الميثان ≈ 28 والنيتروز ≈ 265.</w:t>
      </w:r>
    </w:p>
    <w:p>
      <w:pPr>
        <w:pStyle w:val="ListParagraph"/>
        <w:numPr>
          <w:ilvl w:val="0"/>
          <w:numId w:val="2"/>
        </w:numPr>
        <w:bidi/>
        <w:spacing w:after="60" w:line="290"/>
      </w:pPr>
      <w:r>
        <w:rPr>
          <w:rFonts w:ascii="Calibri" w:cs="Arial" w:eastAsia="Calibri" w:hAnsi="Calibri"/>
          <w:b/>
          <w:bCs/>
          <w:color w:val="14302A"/>
          <w:rtl/>
        </w:rPr>
        <w:t xml:space="preserve">معامل الانبعاث (</w:t>
      </w:r>
      <w:r>
        <w:rPr>
          <w:rFonts w:ascii="Calibri" w:cs="Arial" w:eastAsia="Calibri" w:hAnsi="Calibri"/>
          <w:b/>
          <w:bCs/>
          <w:color w:val="14302A"/>
        </w:rPr>
        <w:t xml:space="preserve">Emission factor):</w:t>
      </w:r>
      <w:r>
        <w:rPr>
          <w:rFonts w:ascii="Calibri" w:cs="Arial" w:eastAsia="Calibri" w:hAnsi="Calibri"/>
          <w:rtl/>
        </w:rPr>
        <w:t xml:space="preserve"> كمية </w:t>
      </w:r>
      <w:r>
        <w:rPr>
          <w:rFonts w:ascii="Calibri" w:cs="Arial" w:eastAsia="Calibri" w:hAnsi="Calibri"/>
        </w:rPr>
        <w:t xml:space="preserve">CO₂e</w:t>
      </w:r>
      <w:r>
        <w:rPr>
          <w:rFonts w:ascii="Calibri" w:cs="Arial" w:eastAsia="Calibri" w:hAnsi="Calibri"/>
          <w:rtl/>
        </w:rPr>
        <w:t xml:space="preserve"> لكل وحدة نشاط، مثل كجم لكل </w:t>
      </w:r>
      <w:r>
        <w:rPr>
          <w:rFonts w:ascii="Calibri" w:cs="Arial" w:eastAsia="Calibri" w:hAnsi="Calibri"/>
        </w:rPr>
        <w:t xml:space="preserve">kWh</w:t>
      </w:r>
      <w:r>
        <w:rPr>
          <w:rFonts w:ascii="Calibri" w:cs="Arial" w:eastAsia="Calibri" w:hAnsi="Calibri"/>
          <w:rtl/>
        </w:rPr>
        <w:t xml:space="preserve"> كهرباء أو لكل كيلومتر أو لكل كيلوجرام طعام.</w:t>
      </w:r>
    </w:p>
    <w:p>
      <w:pPr>
        <w:pStyle w:val="ListParagraph"/>
        <w:numPr>
          <w:ilvl w:val="0"/>
          <w:numId w:val="2"/>
        </w:numPr>
        <w:bidi/>
        <w:spacing w:after="60" w:line="290"/>
      </w:pPr>
      <w:r>
        <w:rPr>
          <w:rFonts w:ascii="Calibri" w:cs="Arial" w:eastAsia="Calibri" w:hAnsi="Calibri"/>
          <w:b/>
          <w:bCs/>
          <w:color w:val="14302A"/>
          <w:rtl/>
        </w:rPr>
        <w:t xml:space="preserve">بيانات النشاط (</w:t>
      </w:r>
      <w:r>
        <w:rPr>
          <w:rFonts w:ascii="Calibri" w:cs="Arial" w:eastAsia="Calibri" w:hAnsi="Calibri"/>
          <w:b/>
          <w:bCs/>
          <w:color w:val="14302A"/>
        </w:rPr>
        <w:t xml:space="preserve">Activity data):</w:t>
      </w:r>
      <w:r>
        <w:rPr>
          <w:rFonts w:ascii="Calibri" w:cs="Arial" w:eastAsia="Calibri" w:hAnsi="Calibri"/>
          <w:rtl/>
        </w:rPr>
        <w:t xml:space="preserve"> الكميات المقاسة: </w:t>
      </w:r>
      <w:r>
        <w:rPr>
          <w:rFonts w:ascii="Calibri" w:cs="Arial" w:eastAsia="Calibri" w:hAnsi="Calibri"/>
        </w:rPr>
        <w:t xml:space="preserve">kWh</w:t>
      </w:r>
      <w:r>
        <w:rPr>
          <w:rFonts w:ascii="Calibri" w:cs="Arial" w:eastAsia="Calibri" w:hAnsi="Calibri"/>
          <w:rtl/>
        </w:rPr>
        <w:t xml:space="preserve"> من العدادات والفواتير، ولترات الوقود، والكيلومترات، والوجبات، والمشتريات.</w:t>
      </w:r>
    </w:p>
    <w:p>
      <w:pPr>
        <w:pStyle w:val="ListParagraph"/>
        <w:numPr>
          <w:ilvl w:val="0"/>
          <w:numId w:val="2"/>
        </w:numPr>
        <w:bidi/>
        <w:spacing w:after="60" w:line="290"/>
      </w:pPr>
      <w:r>
        <w:rPr>
          <w:rFonts w:ascii="Calibri" w:cs="Arial" w:eastAsia="Calibri" w:hAnsi="Calibri"/>
          <w:b/>
          <w:bCs/>
          <w:color w:val="14302A"/>
          <w:rtl/>
        </w:rPr>
        <w:t xml:space="preserve">الحياد الكربوني (</w:t>
      </w:r>
      <w:r>
        <w:rPr>
          <w:rFonts w:ascii="Calibri" w:cs="Arial" w:eastAsia="Calibri" w:hAnsi="Calibri"/>
          <w:b/>
          <w:bCs/>
          <w:color w:val="14302A"/>
        </w:rPr>
        <w:t xml:space="preserve">Carbon neutrality):</w:t>
      </w:r>
      <w:r>
        <w:rPr>
          <w:rFonts w:ascii="Calibri" w:cs="Arial" w:eastAsia="Calibri" w:hAnsi="Calibri"/>
          <w:rtl/>
        </w:rPr>
        <w:t xml:space="preserve"> خفض الانبعاثات المقاسة إلى أقصى حد ثم تعويض الباقي، مع التحقق من جهة مستقلة [15].</w:t>
      </w:r>
    </w:p>
    <w:p>
      <w:pPr>
        <w:pStyle w:val="Heading2"/>
        <w:bidi/>
      </w:pPr>
      <w:r>
        <w:rPr>
          <w:rFonts w:ascii="Calibri" w:cs="Arial" w:eastAsia="Calibri" w:hAnsi="Calibri"/>
          <w:rtl/>
        </w:rPr>
        <w:t xml:space="preserve">2.1 النطاقات الثلاثة في الحرم التعليمي</w:t>
      </w:r>
    </w:p>
    <w:p>
      <w:pPr>
        <w:bidi/>
        <w:spacing w:after="120" w:line="300"/>
      </w:pPr>
      <w:r>
        <w:rPr>
          <w:rFonts w:ascii="Calibri" w:cs="Arial" w:eastAsia="Calibri" w:hAnsi="Calibri"/>
          <w:rtl/>
        </w:rPr>
        <w:t xml:space="preserve">تقسم كل الأبحاث تقريبًا انبعاثات المؤسسة التعليمية إلى ثلاثة نطاقات وفق الـ </w:t>
      </w:r>
      <w:r>
        <w:rPr>
          <w:rFonts w:ascii="Calibri" w:cs="Arial" w:eastAsia="Calibri" w:hAnsi="Calibri"/>
        </w:rPr>
        <w:t xml:space="preserve">GHG Protocol</w:t>
      </w:r>
      <w:r>
        <w:rPr>
          <w:rFonts w:ascii="Calibri" w:cs="Arial" w:eastAsia="Calibri" w:hAnsi="Calibri"/>
          <w:rtl/>
        </w:rPr>
        <w:t xml:space="preserve"> [1، 10، 14، 18، 22]: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000"/>
        <w:gridCol w:w="2538"/>
      </w:tblGrid>
      <w:tr>
        <w:trPr>
          <w:cantSplit/>
          <w:tblHeader/>
        </w:trPr>
        <w:tc>
          <w:tcPr>
            <w:tcW w:type="dxa" w:w="17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النطاق</w:t>
            </w:r>
          </w:p>
        </w:tc>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التعريف</w:t>
            </w:r>
          </w:p>
        </w:tc>
        <w:tc>
          <w:tcPr>
            <w:tcW w:type="dxa" w:w="3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أمثلة في الجامعة أو المدرسة</w:t>
            </w:r>
          </w:p>
        </w:tc>
        <w:tc>
          <w:tcPr>
            <w:tcW w:type="dxa" w:w="25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كيف يقيسه مشروع بصمتي</w:t>
            </w:r>
          </w:p>
        </w:tc>
      </w:tr>
      <w:tr>
        <w:trPr>
          <w:cantSplit/>
          <w:tblHeader w:val="false"/>
        </w:trPr>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النطاق 1 </w:t>
            </w:r>
            <w:r>
              <w:rPr>
                <w:rFonts w:ascii="Calibri" w:cs="Arial" w:eastAsia="Calibri" w:hAnsi="Calibri"/>
              </w:rPr>
              <w:t xml:space="preserve">‎(Scope 1)‎</w:t>
            </w:r>
          </w:p>
        </w:tc>
        <w:tc>
          <w:tcPr>
            <w:tcW w:type="dxa" w:w="24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انبعاثات مباشرة من مصادر تملكها المؤسسة</w:t>
            </w:r>
          </w:p>
        </w:tc>
        <w:tc>
          <w:tcPr>
            <w:tcW w:type="dxa" w:w="3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غاز التدفئة والمطابخ، ومولدات الديزل، وأتوبيسات المؤسسة، وتسرب غازات التكييف</w:t>
            </w:r>
          </w:p>
        </w:tc>
        <w:tc>
          <w:tcPr>
            <w:tcW w:type="dxa" w:w="2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إدخال يدوي اختياري (الغاز والمولد)</w:t>
            </w:r>
          </w:p>
        </w:tc>
      </w:tr>
      <w:tr>
        <w:trPr>
          <w:cantSplit/>
          <w:tblHeader w:val="false"/>
        </w:trPr>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النطاق 2 </w:t>
            </w:r>
            <w:r>
              <w:rPr>
                <w:rFonts w:ascii="Calibri" w:cs="Arial" w:eastAsia="Calibri" w:hAnsi="Calibri"/>
              </w:rPr>
              <w:t xml:space="preserve">‎(Scope 2)‎</w:t>
            </w:r>
          </w:p>
        </w:tc>
        <w:tc>
          <w:tcPr>
            <w:tcW w:type="dxa" w:w="24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انبعاثات غير مباشرة من الكهرباء المشتراة</w:t>
            </w:r>
          </w:p>
        </w:tc>
        <w:tc>
          <w:tcPr>
            <w:tcW w:type="dxa" w:w="3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كهرباء المعامل والحواسب والتكييف والإضاءة</w:t>
            </w:r>
          </w:p>
        </w:tc>
        <w:tc>
          <w:tcPr>
            <w:tcW w:type="dxa" w:w="2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قياس فعلي كل 10 ثوانٍ بجهازي القياس على لوحة الدور</w:t>
            </w:r>
          </w:p>
        </w:tc>
      </w:tr>
      <w:tr>
        <w:trPr>
          <w:cantSplit/>
          <w:tblHeader w:val="false"/>
        </w:trPr>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النطاق 3 </w:t>
            </w:r>
            <w:r>
              <w:rPr>
                <w:rFonts w:ascii="Calibri" w:cs="Arial" w:eastAsia="Calibri" w:hAnsi="Calibri"/>
              </w:rPr>
              <w:t xml:space="preserve">‎(Scope 3)‎</w:t>
            </w:r>
          </w:p>
        </w:tc>
        <w:tc>
          <w:tcPr>
            <w:tcW w:type="dxa" w:w="24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كل الانبعاثات غير المباشرة الأخرى في سلسلة القيمة</w:t>
            </w:r>
          </w:p>
        </w:tc>
        <w:tc>
          <w:tcPr>
            <w:tcW w:type="dxa" w:w="3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تنقل الطلاب والعاملين، والطعام، والمشتريات، والنفايات، والمياه، والسفر</w:t>
            </w:r>
          </w:p>
        </w:tc>
        <w:tc>
          <w:tcPr>
            <w:tcW w:type="dxa" w:w="2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التنقل والوجبات لكل شخص تلقائيًا من التطبيق</w:t>
            </w:r>
          </w:p>
        </w:tc>
      </w:tr>
    </w:tbl>
    <w:p>
      <w:pPr>
        <w:pStyle w:val="Heading2"/>
        <w:bidi/>
      </w:pPr>
      <w:r>
        <w:rPr>
          <w:rFonts w:ascii="Calibri" w:cs="Arial" w:eastAsia="Calibri" w:hAnsi="Calibri"/>
          <w:rtl/>
        </w:rPr>
        <w:t xml:space="preserve">2.2 المعايير المستخدمة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138"/>
      </w:tblGrid>
      <w:tr>
        <w:trPr>
          <w:cantSplit/>
          <w:tblHeader/>
        </w:trPr>
        <w:tc>
          <w:tcPr>
            <w:tcW w:type="dxa" w:w="2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المعيار</w:t>
            </w:r>
          </w:p>
        </w:tc>
        <w:tc>
          <w:tcPr>
            <w:tcW w:type="dxa" w:w="3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ماذا يحدد</w:t>
            </w:r>
          </w:p>
        </w:tc>
        <w:tc>
          <w:tcPr>
            <w:tcW w:type="dxa" w:w="31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استخدامه في الأبحاث</w:t>
            </w:r>
          </w:p>
        </w:tc>
      </w:tr>
      <w:tr>
        <w:trPr>
          <w:cantSplit/>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GHG Protocol Corporate Standard</w:t>
            </w:r>
            <w:r>
              <w:rPr>
                <w:rFonts w:ascii="Calibri" w:cs="Arial" w:eastAsia="Calibri" w:hAnsi="Calibri"/>
                <w:rtl/>
              </w:rPr>
              <w:t xml:space="preserve"> (</w:t>
            </w:r>
            <w:r>
              <w:rPr>
                <w:rFonts w:ascii="Calibri" w:cs="Arial" w:eastAsia="Calibri" w:hAnsi="Calibri"/>
              </w:rPr>
              <w:t xml:space="preserve">WRI/WBCSD)</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حدود المؤسسة والنطاقات الثلاثة وطريقة الجرد والتقرير</w:t>
            </w:r>
          </w:p>
        </w:tc>
        <w:tc>
          <w:tcPr>
            <w:tcW w:type="dxa" w:w="3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الأكثر استخدامًا في الجامعات والمدارس [10، 14، 18، 21، 22]</w:t>
            </w:r>
          </w:p>
        </w:tc>
      </w:tr>
      <w:tr>
        <w:trPr>
          <w:cantSplit/>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GHG Protocol Scope 3 Standard</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الفئات الخمس عشرة للنطاق 3 (التنقل، المشتريات، النفايات…)</w:t>
            </w:r>
          </w:p>
        </w:tc>
        <w:tc>
          <w:tcPr>
            <w:tcW w:type="dxa" w:w="3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لتنقل الطلاب والمشتريات [6، 12]</w:t>
            </w:r>
          </w:p>
        </w:tc>
      </w:tr>
      <w:tr>
        <w:trPr>
          <w:cantSplit/>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ISO 14064-1:2018</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المعيار الدولي لجرد انبعاثات المؤسسات والتحقق منه</w:t>
            </w:r>
          </w:p>
        </w:tc>
        <w:tc>
          <w:tcPr>
            <w:tcW w:type="dxa" w:w="3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جامعات كولومبيا و</w:t>
            </w:r>
            <w:r>
              <w:rPr>
                <w:rFonts w:ascii="Calibri" w:cs="Arial" w:eastAsia="Calibri" w:hAnsi="Calibri"/>
              </w:rPr>
              <w:t xml:space="preserve">Bologna</w:t>
            </w:r>
            <w:r>
              <w:rPr>
                <w:rFonts w:ascii="Calibri" w:cs="Arial" w:eastAsia="Calibri" w:hAnsi="Calibri"/>
                <w:rtl/>
              </w:rPr>
              <w:t xml:space="preserve"> [14، 15، 16]</w:t>
            </w:r>
          </w:p>
        </w:tc>
      </w:tr>
      <w:tr>
        <w:trPr>
          <w:cantSplit/>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ISO/TR 14069</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إرشادات تطبيق </w:t>
            </w:r>
            <w:r>
              <w:rPr>
                <w:rFonts w:ascii="Calibri" w:cs="Arial" w:eastAsia="Calibri" w:hAnsi="Calibri"/>
              </w:rPr>
              <w:t xml:space="preserve">ISO 14064-1</w:t>
            </w:r>
            <w:r>
              <w:rPr>
                <w:rFonts w:ascii="Calibri" w:cs="Arial" w:eastAsia="Calibri" w:hAnsi="Calibri"/>
                <w:rtl/>
              </w:rPr>
              <w:t xml:space="preserve"> على المؤسسات</w:t>
            </w:r>
          </w:p>
        </w:tc>
        <w:tc>
          <w:tcPr>
            <w:tcW w:type="dxa" w:w="3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جامعة </w:t>
            </w:r>
            <w:r>
              <w:rPr>
                <w:rFonts w:ascii="Calibri" w:cs="Arial" w:eastAsia="Calibri" w:hAnsi="Calibri"/>
              </w:rPr>
              <w:t xml:space="preserve">Bologna</w:t>
            </w:r>
            <w:r>
              <w:rPr>
                <w:rFonts w:ascii="Calibri" w:cs="Arial" w:eastAsia="Calibri" w:hAnsi="Calibri"/>
                <w:rtl/>
              </w:rPr>
              <w:t xml:space="preserve"> [16]</w:t>
            </w:r>
          </w:p>
        </w:tc>
      </w:tr>
      <w:tr>
        <w:trPr>
          <w:cantSplit/>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UI GreenMetric</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تصنيف للجامعات الخضراء، منه البصمة الكربونية لكل فرد</w:t>
            </w:r>
          </w:p>
        </w:tc>
        <w:tc>
          <w:tcPr>
            <w:tcW w:type="dxa" w:w="31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مؤشر سنوي تقدمه جامعات مصرية وعربية كثيرة</w:t>
            </w:r>
          </w:p>
        </w:tc>
      </w:tr>
    </w:tbl>
    <w:p>
      <w:pPr>
        <w:pStyle w:val="Heading1"/>
        <w:pageBreakBefore/>
        <w:bidi/>
      </w:pPr>
      <w:r>
        <w:rPr>
          <w:rFonts w:ascii="Calibri" w:cs="Arial" w:eastAsia="Calibri" w:hAnsi="Calibri"/>
          <w:rtl/>
        </w:rPr>
        <w:t xml:space="preserve">3. كيف تُقاس بصمة منشأة تعليمية: الخطوات</w:t>
      </w:r>
    </w:p>
    <w:p>
      <w:pPr>
        <w:bidi/>
        <w:spacing w:after="120" w:line="300"/>
      </w:pPr>
      <w:r>
        <w:rPr>
          <w:rFonts w:ascii="Calibri" w:cs="Arial" w:eastAsia="Calibri" w:hAnsi="Calibri"/>
          <w:rtl/>
        </w:rPr>
        <w:t xml:space="preserve">تتفق الأبحاث على خطوات متقاربة، نلخصها هنا كما سنطبقها في المشروع:</w:t>
      </w:r>
    </w:p>
    <w:p>
      <w:pPr>
        <w:pStyle w:val="ListParagraph"/>
        <w:numPr>
          <w:ilvl w:val="0"/>
          <w:numId w:val="3"/>
        </w:numPr>
        <w:bidi/>
        <w:spacing w:after="60" w:line="290"/>
      </w:pPr>
      <w:r>
        <w:rPr>
          <w:rFonts w:ascii="Calibri" w:cs="Arial" w:eastAsia="Calibri" w:hAnsi="Calibri"/>
          <w:b/>
          <w:bCs/>
          <w:color w:val="14302A"/>
          <w:rtl/>
        </w:rPr>
        <w:t xml:space="preserve">تحديد الحدود وسنة الأساس:</w:t>
      </w:r>
      <w:r>
        <w:rPr>
          <w:rFonts w:ascii="Calibri" w:cs="Arial" w:eastAsia="Calibri" w:hAnsi="Calibri"/>
          <w:rtl/>
        </w:rPr>
        <w:t xml:space="preserve"> المؤسسة كلها أو حرم أو مبنى أو كلية؛ والسنة المرجعية للمقارنة. يمكن الحساب لكل مبنى على حدة [4]، وجامعة بورسعيد بدأت بكلية واحدة كتجربة [22]. </w:t>
      </w:r>
      <w:r>
        <w:rPr>
          <w:rFonts w:ascii="Calibri" w:cs="Arial" w:eastAsia="Calibri" w:hAnsi="Calibri"/>
          <w:b/>
          <w:bCs/>
          <w:color w:val="14302A"/>
          <w:rtl/>
        </w:rPr>
        <w:t xml:space="preserve">عندنا: دور قسم الحاسبات، وخط الأساس أول 3 أسابيع.</w:t>
      </w:r>
    </w:p>
    <w:p>
      <w:pPr>
        <w:pStyle w:val="ListParagraph"/>
        <w:numPr>
          <w:ilvl w:val="0"/>
          <w:numId w:val="3"/>
        </w:numPr>
        <w:bidi/>
        <w:spacing w:after="60" w:line="290"/>
      </w:pPr>
      <w:r>
        <w:rPr>
          <w:rFonts w:ascii="Calibri" w:cs="Arial" w:eastAsia="Calibri" w:hAnsi="Calibri"/>
          <w:b/>
          <w:bCs/>
          <w:color w:val="14302A"/>
          <w:rtl/>
        </w:rPr>
        <w:t xml:space="preserve">حصر مصادر الانبعاث لكل نطاق:</w:t>
      </w:r>
      <w:r>
        <w:rPr>
          <w:rFonts w:ascii="Calibri" w:cs="Arial" w:eastAsia="Calibri" w:hAnsi="Calibri"/>
          <w:rtl/>
        </w:rPr>
        <w:t xml:space="preserve"> الكهرباء، والوقود، والتنقل، والطعام، والمشتريات، والنفايات، والمياه [4، 11].</w:t>
      </w:r>
    </w:p>
    <w:p>
      <w:pPr>
        <w:pStyle w:val="ListParagraph"/>
        <w:numPr>
          <w:ilvl w:val="0"/>
          <w:numId w:val="3"/>
        </w:numPr>
        <w:bidi/>
        <w:spacing w:after="60" w:line="290"/>
      </w:pPr>
      <w:r>
        <w:rPr>
          <w:rFonts w:ascii="Calibri" w:cs="Arial" w:eastAsia="Calibri" w:hAnsi="Calibri"/>
          <w:b/>
          <w:bCs/>
          <w:color w:val="14302A"/>
          <w:rtl/>
        </w:rPr>
        <w:t xml:space="preserve">جمع بيانات النشاط:</w:t>
      </w:r>
      <w:r>
        <w:rPr>
          <w:rFonts w:ascii="Calibri" w:cs="Arial" w:eastAsia="Calibri" w:hAnsi="Calibri"/>
          <w:rtl/>
        </w:rPr>
        <w:t xml:space="preserve"> فواتير وعدادات الطاقة، واستبيانات التنقل، وسجلات المشتريات والنفايات [14، 21]. وكثير من المباني المصرية تفتقر لبيانات شهرية لكل مبنى [23].</w:t>
      </w:r>
    </w:p>
    <w:p>
      <w:pPr>
        <w:pStyle w:val="ListParagraph"/>
        <w:numPr>
          <w:ilvl w:val="0"/>
          <w:numId w:val="3"/>
        </w:numPr>
        <w:bidi/>
        <w:spacing w:after="60" w:line="290"/>
      </w:pPr>
      <w:r>
        <w:rPr>
          <w:rFonts w:ascii="Calibri" w:cs="Arial" w:eastAsia="Calibri" w:hAnsi="Calibri"/>
          <w:b/>
          <w:bCs/>
          <w:color w:val="14302A"/>
          <w:rtl/>
        </w:rPr>
        <w:t xml:space="preserve">اختيار معاملات الانبعاث:</w:t>
      </w:r>
      <w:r>
        <w:rPr>
          <w:rFonts w:ascii="Calibri" w:cs="Arial" w:eastAsia="Calibri" w:hAnsi="Calibri"/>
          <w:rtl/>
        </w:rPr>
        <w:t xml:space="preserve"> يفضَّل استخدام معاملات محلية (مثل معامل شبكة الكهرباء المصرية) بدل المعاملات الأجنبية [4، 29].</w:t>
      </w:r>
    </w:p>
    <w:p>
      <w:pPr>
        <w:pStyle w:val="ListParagraph"/>
        <w:numPr>
          <w:ilvl w:val="0"/>
          <w:numId w:val="3"/>
        </w:numPr>
        <w:bidi/>
        <w:spacing w:after="60" w:line="290"/>
      </w:pPr>
      <w:r>
        <w:rPr>
          <w:rFonts w:ascii="Calibri" w:cs="Arial" w:eastAsia="Calibri" w:hAnsi="Calibri"/>
          <w:b/>
          <w:bCs/>
          <w:color w:val="14302A"/>
          <w:rtl/>
        </w:rPr>
        <w:t xml:space="preserve">الحساب:</w:t>
      </w:r>
      <w:r>
        <w:rPr>
          <w:rFonts w:ascii="Calibri" w:cs="Arial" w:eastAsia="Calibri" w:hAnsi="Calibri"/>
          <w:rtl/>
        </w:rPr>
        <w:t xml:space="preserve"> الانبعاثات = كمية النشاط × معامل الانبعاث، ثم الجمع لكل نطاق.</w:t>
      </w:r>
    </w:p>
    <w:p>
      <w:pPr>
        <w:pStyle w:val="ListParagraph"/>
        <w:numPr>
          <w:ilvl w:val="0"/>
          <w:numId w:val="3"/>
        </w:numPr>
        <w:bidi/>
        <w:spacing w:after="60" w:line="290"/>
      </w:pPr>
      <w:r>
        <w:rPr>
          <w:rFonts w:ascii="Calibri" w:cs="Arial" w:eastAsia="Calibri" w:hAnsi="Calibri"/>
          <w:b/>
          <w:bCs/>
          <w:color w:val="14302A"/>
          <w:rtl/>
        </w:rPr>
        <w:t xml:space="preserve">التطبيع:</w:t>
      </w:r>
      <w:r>
        <w:rPr>
          <w:rFonts w:ascii="Calibri" w:cs="Arial" w:eastAsia="Calibri" w:hAnsi="Calibri"/>
          <w:rtl/>
        </w:rPr>
        <w:t xml:space="preserve"> لكل فرد أو لكل طالب أو لكل متر مربع، حتى تمكن المقارنة بين المؤسسات [3، 5، 18].</w:t>
      </w:r>
    </w:p>
    <w:p>
      <w:pPr>
        <w:pStyle w:val="ListParagraph"/>
        <w:numPr>
          <w:ilvl w:val="0"/>
          <w:numId w:val="3"/>
        </w:numPr>
        <w:bidi/>
        <w:spacing w:after="60" w:line="290"/>
      </w:pPr>
      <w:r>
        <w:rPr>
          <w:rFonts w:ascii="Calibri" w:cs="Arial" w:eastAsia="Calibri" w:hAnsi="Calibri"/>
          <w:b/>
          <w:bCs/>
          <w:color w:val="14302A"/>
          <w:rtl/>
        </w:rPr>
        <w:t xml:space="preserve">عدم اليقين والتحقق:</w:t>
      </w:r>
      <w:r>
        <w:rPr>
          <w:rFonts w:ascii="Calibri" w:cs="Arial" w:eastAsia="Calibri" w:hAnsi="Calibri"/>
          <w:rtl/>
        </w:rPr>
        <w:t xml:space="preserve"> التنقل والسفر هما الأعلى في عدم اليقين [19]، والتحقق المستقل شرط للحياد الكربوني [15].</w:t>
      </w:r>
    </w:p>
    <w:p>
      <w:pPr>
        <w:pStyle w:val="ListParagraph"/>
        <w:numPr>
          <w:ilvl w:val="0"/>
          <w:numId w:val="3"/>
        </w:numPr>
        <w:bidi/>
        <w:spacing w:after="60" w:line="290"/>
      </w:pPr>
      <w:r>
        <w:rPr>
          <w:rFonts w:ascii="Calibri" w:cs="Arial" w:eastAsia="Calibri" w:hAnsi="Calibri"/>
          <w:b/>
          <w:bCs/>
          <w:color w:val="14302A"/>
          <w:rtl/>
        </w:rPr>
        <w:t xml:space="preserve">التقرير وخطة الخفض:</w:t>
      </w:r>
      <w:r>
        <w:rPr>
          <w:rFonts w:ascii="Calibri" w:cs="Arial" w:eastAsia="Calibri" w:hAnsi="Calibri"/>
          <w:rtl/>
        </w:rPr>
        <w:t xml:space="preserve"> أهداف خفض واضحة وإجراءات ومتابعة دورية؛ فأغلب الجامعات الفنلندية تقيس بصمتها لكن قلة منها وضعت أهدافًا منفصلة [17].</w:t>
      </w:r>
    </w:p>
    <w:p>
      <w:pPr>
        <w:pStyle w:val="Heading1"/>
        <w:bidi/>
      </w:pPr>
      <w:r>
        <w:rPr>
          <w:rFonts w:ascii="Calibri" w:cs="Arial" w:eastAsia="Calibri" w:hAnsi="Calibri"/>
          <w:rtl/>
        </w:rPr>
        <w:t xml:space="preserve">4. طرق الحساب ومقارنتها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000"/>
        <w:gridCol w:w="2100"/>
        <w:gridCol w:w="1538"/>
      </w:tblGrid>
      <w:tr>
        <w:trPr>
          <w:cantSplit/>
          <w:tblHeader/>
        </w:trPr>
        <w:tc>
          <w:tcPr>
            <w:tcW w:type="dxa" w:w="1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9"/>
                <w:szCs w:val="19"/>
                <w:rtl/>
              </w:rPr>
              <w:t xml:space="preserve">الطريقة</w:t>
            </w:r>
          </w:p>
        </w:tc>
        <w:tc>
          <w:tcPr>
            <w:tcW w:type="dxa" w:w="21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9"/>
                <w:szCs w:val="19"/>
                <w:rtl/>
              </w:rPr>
              <w:t xml:space="preserve">كيف تعمل</w:t>
            </w:r>
          </w:p>
        </w:tc>
        <w:tc>
          <w:tcPr>
            <w:tcW w:type="dxa" w:w="2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9"/>
                <w:szCs w:val="19"/>
                <w:rtl/>
              </w:rPr>
              <w:t xml:space="preserve">المزايا</w:t>
            </w:r>
          </w:p>
        </w:tc>
        <w:tc>
          <w:tcPr>
            <w:tcW w:type="dxa" w:w="21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9"/>
                <w:szCs w:val="19"/>
                <w:rtl/>
              </w:rPr>
              <w:t xml:space="preserve">العيوب</w:t>
            </w:r>
          </w:p>
        </w:tc>
        <w:tc>
          <w:tcPr>
            <w:tcW w:type="dxa" w:w="15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9"/>
                <w:szCs w:val="19"/>
                <w:rtl/>
              </w:rPr>
              <w:t xml:space="preserve">أمثلة</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قائمة على النشاط (</w:t>
            </w:r>
            <w:r>
              <w:rPr>
                <w:rFonts w:ascii="Calibri" w:cs="Arial" w:eastAsia="Calibri" w:hAnsi="Calibri"/>
                <w:sz w:val="19"/>
                <w:szCs w:val="19"/>
              </w:rPr>
              <w:t xml:space="preserve">Activity-based)</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كميات مقاسة × معاملات انبعاث</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دقيقة وشفافة ومناسبة للنطاقين 1 و2 والتنقل</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تحتاج بيانات تفصيلية</w:t>
            </w:r>
          </w:p>
        </w:tc>
        <w:tc>
          <w:tcPr>
            <w:tcW w:type="dxa" w:w="1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[10، 14، 18، 19، 22]</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قائمة على الإنفاق (</w:t>
            </w:r>
            <w:r>
              <w:rPr>
                <w:rFonts w:ascii="Calibri" w:cs="Arial" w:eastAsia="Calibri" w:hAnsi="Calibri"/>
                <w:sz w:val="19"/>
                <w:szCs w:val="19"/>
              </w:rPr>
              <w:t xml:space="preserve">EEIO)</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المبالغ المنفقة × معاملات اقتصادية لكل قطاع</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سريعة وتغطي المشتريات</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تقريبية؛ ويرى باحثو </w:t>
            </w:r>
            <w:r>
              <w:rPr>
                <w:rFonts w:ascii="Calibri" w:cs="Arial" w:eastAsia="Calibri" w:hAnsi="Calibri"/>
                <w:sz w:val="19"/>
                <w:szCs w:val="19"/>
              </w:rPr>
              <w:t xml:space="preserve">TU Delft</w:t>
            </w:r>
            <w:r>
              <w:rPr>
                <w:rFonts w:ascii="Calibri" w:cs="Arial" w:eastAsia="Calibri" w:hAnsi="Calibri"/>
                <w:sz w:val="19"/>
                <w:szCs w:val="19"/>
                <w:rtl/>
              </w:rPr>
              <w:t xml:space="preserve"> أن الاعتماد عليها وحدها غير دقيق</w:t>
            </w:r>
          </w:p>
        </w:tc>
        <w:tc>
          <w:tcPr>
            <w:tcW w:type="dxa" w:w="1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[6]</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هجينة (</w:t>
            </w:r>
            <w:r>
              <w:rPr>
                <w:rFonts w:ascii="Calibri" w:cs="Arial" w:eastAsia="Calibri" w:hAnsi="Calibri"/>
                <w:sz w:val="19"/>
                <w:szCs w:val="19"/>
              </w:rPr>
              <w:t xml:space="preserve">Hybrid)</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نشاط للبنود المقاسة وإنفاق للباقي</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تغطية كاملة بدقة معقولة</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أعقد في التنفيذ</w:t>
            </w:r>
          </w:p>
        </w:tc>
        <w:tc>
          <w:tcPr>
            <w:tcW w:type="dxa" w:w="1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[7]</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تقييم دورة الحياة (</w:t>
            </w:r>
            <w:r>
              <w:rPr>
                <w:rFonts w:ascii="Calibri" w:cs="Arial" w:eastAsia="Calibri" w:hAnsi="Calibri"/>
                <w:sz w:val="19"/>
                <w:szCs w:val="19"/>
              </w:rPr>
              <w:t xml:space="preserve">LCA)</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كل مراحل حياة الأنشطة والمواد</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شاملة، ومفيدة لمقارنة البدائل</w:t>
            </w:r>
          </w:p>
        </w:tc>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تحتاج بيانات وبرامج متخصصة</w:t>
            </w:r>
          </w:p>
        </w:tc>
        <w:tc>
          <w:tcPr>
            <w:tcW w:type="dxa" w:w="1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9"/>
                <w:szCs w:val="19"/>
                <w:rtl/>
              </w:rPr>
              <w:t xml:space="preserve">[11، 18]</w:t>
            </w:r>
          </w:p>
        </w:tc>
      </w:tr>
    </w:tbl>
    <w:p>
      <w:pPr>
        <w:spacing w:after="60"/>
      </w:pPr>
    </w:p>
    <w:p>
      <w:pPr>
        <w:bidi/>
        <w:spacing w:after="120" w:line="300"/>
      </w:pPr>
      <w:r>
        <w:rPr>
          <w:rFonts w:ascii="Calibri" w:cs="Arial" w:eastAsia="Calibri" w:hAnsi="Calibri"/>
          <w:b/>
          <w:bCs/>
          <w:color w:val="14302A"/>
          <w:rtl/>
        </w:rPr>
        <w:t xml:space="preserve">اختيار المشروع:</w:t>
      </w:r>
      <w:r>
        <w:rPr>
          <w:rFonts w:ascii="Calibri" w:cs="Arial" w:eastAsia="Calibri" w:hAnsi="Calibri"/>
          <w:rtl/>
        </w:rPr>
        <w:t xml:space="preserve"> الطريقة القائمة على النشاط، لأن جهازي القياس والتطبيق يقيسان النشاط نفسه مباشرة (</w:t>
      </w:r>
      <w:r>
        <w:rPr>
          <w:rFonts w:ascii="Calibri" w:cs="Arial" w:eastAsia="Calibri" w:hAnsi="Calibri"/>
        </w:rPr>
        <w:t xml:space="preserve">kWh</w:t>
      </w:r>
      <w:r>
        <w:rPr>
          <w:rFonts w:ascii="Calibri" w:cs="Arial" w:eastAsia="Calibri" w:hAnsi="Calibri"/>
          <w:rtl/>
        </w:rPr>
        <w:t xml:space="preserve"> والكيلومترات والوجبات)، وهذا ما توصي به مراجعة </w:t>
      </w:r>
      <w:r>
        <w:rPr>
          <w:rFonts w:ascii="Calibri" w:cs="Arial" w:eastAsia="Calibri" w:hAnsi="Calibri"/>
        </w:rPr>
        <w:t xml:space="preserve">TU Delft</w:t>
      </w:r>
      <w:r>
        <w:rPr>
          <w:rFonts w:ascii="Calibri" w:cs="Arial" w:eastAsia="Calibri" w:hAnsi="Calibri"/>
          <w:rtl/>
        </w:rPr>
        <w:t xml:space="preserve"> بدل الاعتماد على الإنفاق [6].</w:t>
      </w:r>
    </w:p>
    <w:p>
      <w:pPr>
        <w:pStyle w:val="Heading1"/>
        <w:pageBreakBefore/>
        <w:bidi/>
      </w:pPr>
      <w:r>
        <w:rPr>
          <w:rFonts w:ascii="Calibri" w:cs="Arial" w:eastAsia="Calibri" w:hAnsi="Calibri"/>
          <w:rtl/>
        </w:rPr>
        <w:t xml:space="preserve">5. ماذا تقول الأرقام: جامعات ومدارس قيست بصمتها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050"/>
        <w:gridCol w:w="1250"/>
        <w:gridCol w:w="1050"/>
        <w:gridCol w:w="2500"/>
        <w:gridCol w:w="988"/>
      </w:tblGrid>
      <w:tr>
        <w:trPr>
          <w:cantSplit/>
          <w:tblHeader/>
        </w:trPr>
        <w:tc>
          <w:tcPr>
            <w:tcW w:type="dxa" w:w="1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المؤسسة</w:t>
            </w:r>
          </w:p>
        </w:tc>
        <w:tc>
          <w:tcPr>
            <w:tcW w:type="dxa" w:w="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الدولة</w:t>
            </w:r>
          </w:p>
        </w:tc>
        <w:tc>
          <w:tcPr>
            <w:tcW w:type="dxa" w:w="10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سنة البيانات</w:t>
            </w:r>
          </w:p>
        </w:tc>
        <w:tc>
          <w:tcPr>
            <w:tcW w:type="dxa" w:w="12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الإجمالي (طن </w:t>
            </w:r>
            <w:r>
              <w:rPr>
                <w:rFonts w:ascii="Calibri" w:cs="Arial" w:eastAsia="Calibri" w:hAnsi="Calibri"/>
                <w:b/>
                <w:bCs/>
                <w:color w:val="14302A"/>
                <w:sz w:val="18"/>
                <w:szCs w:val="18"/>
              </w:rPr>
              <w:t xml:space="preserve">CO₂e)</w:t>
            </w:r>
          </w:p>
        </w:tc>
        <w:tc>
          <w:tcPr>
            <w:tcW w:type="dxa" w:w="10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لكل فرد</w:t>
            </w:r>
          </w:p>
        </w:tc>
        <w:tc>
          <w:tcPr>
            <w:tcW w:type="dxa" w:w="2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أكبر مصدر أو نطاق</w:t>
            </w:r>
          </w:p>
        </w:tc>
        <w:tc>
          <w:tcPr>
            <w:tcW w:type="dxa" w:w="98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المرجع</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Pr>
              <w:t xml:space="preserve">Clemson University</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أمريكا</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2014–2017</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 95,400‎</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النطاقان 2 و3 (≈ 40% لكل منهما)</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‎[11]‎</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Pr>
              <w:t xml:space="preserve">Universidad Nacional de Colombia</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كولومبيا</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‎2019‎</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‎7,251‎</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‎0.43 t‎</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النقل 58.5%، والنطاق 3 نحو 83%</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‎[14]‎</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Pr>
              <w:t xml:space="preserve">NED University</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باكستان</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‎2017‎</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 21,500‎</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لكل طالب 1.79 طن</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النطاق 3 نحو 85.6%</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‎[13]‎</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Pr>
              <w:t xml:space="preserve">TU Delft</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هولندا</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‎2018‎</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 106,000‎</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النطاق 3 نحو 80% (المشتريات)</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‎[6]‎</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Pr>
              <w:t xml:space="preserve">University of Oulu</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فنلندا</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‎2019‎</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‎19,072‎</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التدفئة المركزية</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‎[7]‎</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Pr>
              <w:t xml:space="preserve">University of Bologna</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إيطاليا</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2018 و2020</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55,388 ثم 16,467</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النقل 74% (2018)، والمشتريات التقنية نحو 50% (2020)</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‎[16]‎</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Pr>
              <w:t xml:space="preserve">TU Cluj-Napoca</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رومانيا</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‎7,229‎</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‎0.36 t‎</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الغاز الطبيعي للتدفئة</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‎[18]‎</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Pr>
              <w:t xml:space="preserve">Sichuan Univ. Jinjiang College</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الصين</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‎44,584‎</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‎1.89 t‎</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الكهرباء</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‎[19]‎</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جامعة بورسعيد (كلية العلوم)</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مصر</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2023 و2024</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النطاق 3 (التنقل) نحو 97%</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‎[22]‎</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8 مدارس في </w:t>
            </w:r>
            <w:r>
              <w:rPr>
                <w:rFonts w:ascii="Calibri" w:cs="Arial" w:eastAsia="Calibri" w:hAnsi="Calibri"/>
                <w:sz w:val="18"/>
                <w:szCs w:val="18"/>
              </w:rPr>
              <w:t xml:space="preserve">Pokhara</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نيبال</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409.8 (للثماني)</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‎0.029 t‎</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النطاق 1 (أتوبيسات المدارس والوقود)</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‎[21]‎</w:t>
            </w:r>
          </w:p>
        </w:tc>
      </w:tr>
      <w:tr>
        <w:trPr>
          <w:cantSplit/>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مدارس </w:t>
            </w:r>
            <w:r>
              <w:rPr>
                <w:rFonts w:ascii="Calibri" w:cs="Arial" w:eastAsia="Calibri" w:hAnsi="Calibri"/>
                <w:sz w:val="18"/>
                <w:szCs w:val="18"/>
              </w:rPr>
              <w:t xml:space="preserve">Schools4Future</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ألمانيا</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w:t>
            </w:r>
          </w:p>
        </w:tc>
        <w:tc>
          <w:tcPr>
            <w:tcW w:type="dxa" w:w="1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w:t>
            </w:r>
          </w:p>
        </w:tc>
        <w:tc>
          <w:tcPr>
            <w:tcW w:type="dxa" w:w="10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التنقل 60–70 طن لكل مدرسة، والمقصف الأصغر</w:t>
            </w:r>
          </w:p>
        </w:tc>
        <w:tc>
          <w:tcPr>
            <w:tcW w:type="dxa" w:w="98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w:t>
            </w:r>
          </w:p>
        </w:tc>
      </w:tr>
    </w:tbl>
    <w:p>
      <w:pPr>
        <w:spacing w:after="60"/>
      </w:pPr>
    </w:p>
    <w:p>
      <w:pPr>
        <w:bidi/>
        <w:spacing w:after="120" w:line="300"/>
      </w:pPr>
      <w:r>
        <w:rPr>
          <w:rFonts w:ascii="Calibri" w:cs="Arial" w:eastAsia="Calibri" w:hAnsi="Calibri"/>
          <w:b/>
          <w:bCs/>
          <w:color w:val="14302A"/>
          <w:rtl/>
        </w:rPr>
        <w:t xml:space="preserve">ما نستخلصه من الجدول:</w:t>
      </w:r>
    </w:p>
    <w:p>
      <w:pPr>
        <w:pStyle w:val="ListParagraph"/>
        <w:numPr>
          <w:ilvl w:val="0"/>
          <w:numId w:val="2"/>
        </w:numPr>
        <w:bidi/>
        <w:spacing w:after="60" w:line="290"/>
      </w:pPr>
      <w:r>
        <w:rPr>
          <w:rFonts w:ascii="Calibri" w:cs="Arial" w:eastAsia="Calibri" w:hAnsi="Calibri"/>
          <w:b/>
          <w:bCs/>
          <w:color w:val="14302A"/>
          <w:rtl/>
        </w:rPr>
        <w:t xml:space="preserve">النطاق 3 هو الأكبر غالبًا</w:t>
      </w:r>
      <w:r>
        <w:rPr>
          <w:rFonts w:ascii="Calibri" w:cs="Arial" w:eastAsia="Calibri" w:hAnsi="Calibri"/>
          <w:rtl/>
        </w:rPr>
        <w:t xml:space="preserve"> (80–97%) بسبب تنقل الطلاب والعاملين والمشتريات [6، 13، 14، 22]. لذلك يقيس التطبيق تنقل كل فرد تلقائيًا.</w:t>
      </w:r>
    </w:p>
    <w:p>
      <w:pPr>
        <w:pStyle w:val="ListParagraph"/>
        <w:numPr>
          <w:ilvl w:val="0"/>
          <w:numId w:val="2"/>
        </w:numPr>
        <w:bidi/>
        <w:spacing w:after="60" w:line="290"/>
      </w:pPr>
      <w:r>
        <w:rPr>
          <w:rFonts w:ascii="Calibri" w:cs="Arial" w:eastAsia="Calibri" w:hAnsi="Calibri"/>
          <w:b/>
          <w:bCs/>
          <w:color w:val="14302A"/>
          <w:rtl/>
        </w:rPr>
        <w:t xml:space="preserve">طاقة المباني هي البند الأكبر حين لا يدخل التنقل أو حين تكون التدفئة بالغاز</w:t>
      </w:r>
      <w:r>
        <w:rPr>
          <w:rFonts w:ascii="Calibri" w:cs="Arial" w:eastAsia="Calibri" w:hAnsi="Calibri"/>
          <w:rtl/>
        </w:rPr>
        <w:t xml:space="preserve"> [7، 18]، وفي الصين كانت الكهرباء الأكبر [19]. وفي مصر يذهب نحو 40% من كهرباء المباني الحكومية للتبريد [24].</w:t>
      </w:r>
    </w:p>
    <w:p>
      <w:pPr>
        <w:pStyle w:val="ListParagraph"/>
        <w:numPr>
          <w:ilvl w:val="0"/>
          <w:numId w:val="2"/>
        </w:numPr>
        <w:bidi/>
        <w:spacing w:after="60" w:line="290"/>
      </w:pPr>
      <w:r>
        <w:rPr>
          <w:rFonts w:ascii="Calibri" w:cs="Arial" w:eastAsia="Calibri" w:hAnsi="Calibri"/>
          <w:b/>
          <w:bCs/>
          <w:color w:val="14302A"/>
          <w:rtl/>
        </w:rPr>
        <w:t xml:space="preserve">الأرقام غير قابلة للمقارنة المباشرة</w:t>
      </w:r>
      <w:r>
        <w:rPr>
          <w:rFonts w:ascii="Calibri" w:cs="Arial" w:eastAsia="Calibri" w:hAnsi="Calibri"/>
          <w:rtl/>
        </w:rPr>
        <w:t xml:space="preserve"> لاختلاف الحدود والطرق والسنوات [1، 3، 5]، لذلك نعرض النتائج لكل فرد ولكل ساعة-شخص بطريقة ثابتة.</w:t>
      </w:r>
    </w:p>
    <w:p>
      <w:pPr>
        <w:pStyle w:val="ListParagraph"/>
        <w:numPr>
          <w:ilvl w:val="0"/>
          <w:numId w:val="2"/>
        </w:numPr>
        <w:bidi/>
        <w:spacing w:after="60" w:line="290"/>
      </w:pPr>
      <w:r>
        <w:rPr>
          <w:rFonts w:ascii="Calibri" w:cs="Arial" w:eastAsia="Calibri" w:hAnsi="Calibri"/>
          <w:b/>
          <w:bCs/>
          <w:color w:val="14302A"/>
          <w:rtl/>
        </w:rPr>
        <w:t xml:space="preserve">التغيرات الكبيرة ممكنة</w:t>
      </w:r>
      <w:r>
        <w:rPr>
          <w:rFonts w:ascii="Calibri" w:cs="Arial" w:eastAsia="Calibri" w:hAnsi="Calibri"/>
          <w:rtl/>
        </w:rPr>
        <w:t xml:space="preserve"> عندما يتغير التواجد، كما حدث أثناء جائحة كورونا [12، 16]، وهذا يبرر القياس اليومي بدل السنوي.</w:t>
      </w:r>
    </w:p>
    <w:p>
      <w:pPr>
        <w:pStyle w:val="Heading1"/>
        <w:bidi/>
      </w:pPr>
      <w:r>
        <w:rPr>
          <w:rFonts w:ascii="Calibri" w:cs="Arial" w:eastAsia="Calibri" w:hAnsi="Calibri"/>
          <w:rtl/>
        </w:rPr>
        <w:t xml:space="preserve">6. المدارس</w:t>
      </w:r>
    </w:p>
    <w:p>
      <w:pPr>
        <w:bidi/>
        <w:spacing w:after="120" w:line="300"/>
      </w:pPr>
      <w:r>
        <w:rPr>
          <w:rFonts w:ascii="Calibri" w:cs="Arial" w:eastAsia="Calibri" w:hAnsi="Calibri"/>
          <w:rtl/>
        </w:rPr>
        <w:t xml:space="preserve">الأبحاث عن المدارس أقل من الجامعات، لكنها تطبق نفس الـ </w:t>
      </w:r>
      <w:r>
        <w:rPr>
          <w:rFonts w:ascii="Calibri" w:cs="Arial" w:eastAsia="Calibri" w:hAnsi="Calibri"/>
        </w:rPr>
        <w:t xml:space="preserve">GHG Protocol</w:t>
      </w:r>
      <w:r>
        <w:rPr>
          <w:rFonts w:ascii="Calibri" w:cs="Arial" w:eastAsia="Calibri" w:hAnsi="Calibri"/>
          <w:rtl/>
        </w:rPr>
        <w:t xml:space="preserve"> ببيانات أبسط:</w:t>
      </w:r>
    </w:p>
    <w:p>
      <w:pPr>
        <w:pStyle w:val="ListParagraph"/>
        <w:numPr>
          <w:ilvl w:val="0"/>
          <w:numId w:val="2"/>
        </w:numPr>
        <w:bidi/>
        <w:spacing w:after="60" w:line="290"/>
      </w:pPr>
      <w:r>
        <w:rPr>
          <w:rFonts w:ascii="Calibri" w:cs="Arial" w:eastAsia="Calibri" w:hAnsi="Calibri"/>
          <w:b/>
          <w:bCs/>
          <w:color w:val="14302A"/>
          <w:rtl/>
        </w:rPr>
        <w:t xml:space="preserve">ألمانيا – </w:t>
      </w:r>
      <w:r>
        <w:rPr>
          <w:rFonts w:ascii="Calibri" w:cs="Arial" w:eastAsia="Calibri" w:hAnsi="Calibri"/>
          <w:b/>
          <w:bCs/>
          <w:color w:val="14302A"/>
        </w:rPr>
        <w:t xml:space="preserve">Schools4Future:</w:t>
      </w:r>
      <w:r>
        <w:rPr>
          <w:rFonts w:ascii="Calibri" w:cs="Arial" w:eastAsia="Calibri" w:hAnsi="Calibri"/>
          <w:rtl/>
        </w:rPr>
        <w:t xml:space="preserve"> أداة يستخدمها الطلاب أنفسهم لحساب بصمة مدرستهم (التنقل، والتدفئة، والكهرباء، والمقصف، والورق)، وتجمع بين القياس والتوعية [20].</w:t>
      </w:r>
    </w:p>
    <w:p>
      <w:pPr>
        <w:pStyle w:val="ListParagraph"/>
        <w:numPr>
          <w:ilvl w:val="0"/>
          <w:numId w:val="2"/>
        </w:numPr>
        <w:bidi/>
        <w:spacing w:after="60" w:line="290"/>
      </w:pPr>
      <w:r>
        <w:rPr>
          <w:rFonts w:ascii="Calibri" w:cs="Arial" w:eastAsia="Calibri" w:hAnsi="Calibri"/>
          <w:b/>
          <w:bCs/>
          <w:color w:val="14302A"/>
          <w:rtl/>
        </w:rPr>
        <w:t xml:space="preserve">نيبال – 8 مدارس في </w:t>
      </w:r>
      <w:r>
        <w:rPr>
          <w:rFonts w:ascii="Calibri" w:cs="Arial" w:eastAsia="Calibri" w:hAnsi="Calibri"/>
          <w:b/>
          <w:bCs/>
          <w:color w:val="14302A"/>
        </w:rPr>
        <w:t xml:space="preserve">Pokhara:</w:t>
      </w:r>
      <w:r>
        <w:rPr>
          <w:rFonts w:ascii="Calibri" w:cs="Arial" w:eastAsia="Calibri" w:hAnsi="Calibri"/>
          <w:rtl/>
        </w:rPr>
        <w:t xml:space="preserve"> استبيانات ومقابلات وسجلات، وحتى وزن حقائب الطلاب لتقدير الكتب والكراسات؛ وأتوبيسات المدارس هي المصدر الأكبر [21].</w:t>
      </w:r>
    </w:p>
    <w:p>
      <w:pPr>
        <w:bidi/>
        <w:spacing w:after="120" w:line="300"/>
      </w:pPr>
      <w:r>
        <w:rPr>
          <w:rFonts w:ascii="Calibri" w:cs="Arial" w:eastAsia="Calibri" w:hAnsi="Calibri"/>
          <w:b/>
          <w:bCs/>
          <w:color w:val="14302A"/>
          <w:rtl/>
        </w:rPr>
        <w:t xml:space="preserve">الدرس للمشروع:</w:t>
      </w:r>
      <w:r>
        <w:rPr>
          <w:rFonts w:ascii="Calibri" w:cs="Arial" w:eastAsia="Calibri" w:hAnsi="Calibri"/>
          <w:rtl/>
        </w:rPr>
        <w:t xml:space="preserve"> يمكن نقل نفس التطبيق والجهاز إلى مدرسة بتغيير قائمة الأطباق ومعاملات الأتوبيس المدرسي فقط.</w:t>
      </w:r>
    </w:p>
    <w:p>
      <w:pPr>
        <w:pStyle w:val="Heading1"/>
        <w:bidi/>
      </w:pPr>
      <w:r>
        <w:rPr>
          <w:rFonts w:ascii="Calibri" w:cs="Arial" w:eastAsia="Calibri" w:hAnsi="Calibri"/>
          <w:rtl/>
        </w:rPr>
        <w:t xml:space="preserve">7. مصر والمنطقة العربية</w:t>
      </w:r>
    </w:p>
    <w:p>
      <w:pPr>
        <w:pStyle w:val="ListParagraph"/>
        <w:numPr>
          <w:ilvl w:val="0"/>
          <w:numId w:val="2"/>
        </w:numPr>
        <w:bidi/>
        <w:spacing w:after="60" w:line="290"/>
      </w:pPr>
      <w:r>
        <w:rPr>
          <w:rFonts w:ascii="Calibri" w:cs="Arial" w:eastAsia="Calibri" w:hAnsi="Calibri"/>
          <w:b/>
          <w:bCs/>
          <w:color w:val="14302A"/>
          <w:rtl/>
        </w:rPr>
        <w:t xml:space="preserve">جامعة بورسعيد (2026):</w:t>
      </w:r>
      <w:r>
        <w:rPr>
          <w:rFonts w:ascii="Calibri" w:cs="Arial" w:eastAsia="Calibri" w:hAnsi="Calibri"/>
          <w:rtl/>
        </w:rPr>
        <w:t xml:space="preserve"> أول دراسة منشورة لجامعة حكومية مصرية وجدناها؛ قيست بصمة كلية العلوم منذ 2023 بالـ </w:t>
      </w:r>
      <w:r>
        <w:rPr>
          <w:rFonts w:ascii="Calibri" w:cs="Arial" w:eastAsia="Calibri" w:hAnsi="Calibri"/>
        </w:rPr>
        <w:t xml:space="preserve">GHG Protocol</w:t>
      </w:r>
      <w:r>
        <w:rPr>
          <w:rFonts w:ascii="Calibri" w:cs="Arial" w:eastAsia="Calibri" w:hAnsi="Calibri"/>
          <w:rtl/>
        </w:rPr>
        <w:t xml:space="preserve">، والتنقل نحو 97% من الانبعاثات [22].</w:t>
      </w:r>
    </w:p>
    <w:p>
      <w:pPr>
        <w:pStyle w:val="ListParagraph"/>
        <w:numPr>
          <w:ilvl w:val="0"/>
          <w:numId w:val="2"/>
        </w:numPr>
        <w:bidi/>
        <w:spacing w:after="60" w:line="290"/>
      </w:pPr>
      <w:r>
        <w:rPr>
          <w:rFonts w:ascii="Calibri" w:cs="Arial" w:eastAsia="Calibri" w:hAnsi="Calibri"/>
          <w:b/>
          <w:bCs/>
          <w:color w:val="14302A"/>
          <w:rtl/>
        </w:rPr>
        <w:t xml:space="preserve">مراجعة في مجلة جامعة عين شمس (2022):</w:t>
      </w:r>
      <w:r>
        <w:rPr>
          <w:rFonts w:ascii="Calibri" w:cs="Arial" w:eastAsia="Calibri" w:hAnsi="Calibri"/>
          <w:rtl/>
        </w:rPr>
        <w:t xml:space="preserve"> تقارن طرق الرصد والخفض في أربع جامعات، وتؤكد أن الكهرباء نصيب كبير [9].</w:t>
      </w:r>
    </w:p>
    <w:p>
      <w:pPr>
        <w:pStyle w:val="ListParagraph"/>
        <w:numPr>
          <w:ilvl w:val="0"/>
          <w:numId w:val="2"/>
        </w:numPr>
        <w:bidi/>
        <w:spacing w:after="60" w:line="290"/>
      </w:pPr>
      <w:r>
        <w:rPr>
          <w:rFonts w:ascii="Calibri" w:cs="Arial" w:eastAsia="Calibri" w:hAnsi="Calibri"/>
          <w:b/>
          <w:bCs/>
          <w:color w:val="14302A"/>
          <w:rtl/>
        </w:rPr>
        <w:t xml:space="preserve">مباني الجامعات المصرية (2024):</w:t>
      </w:r>
      <w:r>
        <w:rPr>
          <w:rFonts w:ascii="Calibri" w:cs="Arial" w:eastAsia="Calibri" w:hAnsi="Calibri"/>
          <w:rtl/>
        </w:rPr>
        <w:t xml:space="preserve"> البيانات الشهرية لكل مبنى غالبًا غير موجودة، والحواسب والمعامل والإضاءة والتكييف هي الأحمال الرئيسية [23].</w:t>
      </w:r>
    </w:p>
    <w:p>
      <w:pPr>
        <w:pStyle w:val="ListParagraph"/>
        <w:numPr>
          <w:ilvl w:val="0"/>
          <w:numId w:val="2"/>
        </w:numPr>
        <w:bidi/>
        <w:spacing w:after="60" w:line="290"/>
      </w:pPr>
      <w:r>
        <w:rPr>
          <w:rFonts w:ascii="Calibri" w:cs="Arial" w:eastAsia="Calibri" w:hAnsi="Calibri"/>
          <w:b/>
          <w:bCs/>
          <w:color w:val="14302A"/>
          <w:rtl/>
        </w:rPr>
        <w:t xml:space="preserve">المباني الحكومية في القاهرة (2025):</w:t>
      </w:r>
      <w:r>
        <w:rPr>
          <w:rFonts w:ascii="Calibri" w:cs="Arial" w:eastAsia="Calibri" w:hAnsi="Calibri"/>
          <w:rtl/>
        </w:rPr>
        <w:t xml:space="preserve"> نحو 40% من الكهرباء للتبريد و60% للإضاءة والأجهزة، والاستهلاك يتضاعف تقريبًا في الصيف [24].</w:t>
      </w:r>
    </w:p>
    <w:p>
      <w:pPr>
        <w:pStyle w:val="ListParagraph"/>
        <w:numPr>
          <w:ilvl w:val="0"/>
          <w:numId w:val="2"/>
        </w:numPr>
        <w:bidi/>
        <w:spacing w:after="60" w:line="290"/>
      </w:pPr>
      <w:r>
        <w:rPr>
          <w:rFonts w:ascii="Calibri" w:cs="Arial" w:eastAsia="Calibri" w:hAnsi="Calibri"/>
          <w:b/>
          <w:bCs/>
          <w:color w:val="14302A"/>
          <w:rtl/>
        </w:rPr>
        <w:t xml:space="preserve">تقارير مؤسسية (غير محكّمة):</w:t>
      </w:r>
      <w:r>
        <w:rPr>
          <w:rFonts w:ascii="Calibri" w:cs="Arial" w:eastAsia="Calibri" w:hAnsi="Calibri"/>
          <w:rtl/>
        </w:rPr>
        <w:t xml:space="preserve"> الجامعة الأمريكية بالقاهرة تصدر تقارير بصمتها منذ 2012، وجامعة قطر منذ 2016، وجامعة الإسكندرية تقدم بصمتها سنويًا لتصنيف </w:t>
      </w:r>
      <w:r>
        <w:rPr>
          <w:rFonts w:ascii="Calibri" w:cs="Arial" w:eastAsia="Calibri" w:hAnsi="Calibri"/>
        </w:rPr>
        <w:t xml:space="preserve">UI GreenMetric.</w:t>
      </w:r>
      <w:r>
        <w:rPr>
          <w:rFonts w:ascii="Calibri" w:cs="Arial" w:eastAsia="Calibri" w:hAnsi="Calibri"/>
          <w:rtl/>
        </w:rPr>
        <w:t xml:space="preserve"> هذه التقارير مفيدة للمقارنة لكنها ليست أبحاثًا محكّمة.</w:t>
      </w:r>
    </w:p>
    <w:p>
      <w:pPr>
        <w:pStyle w:val="Heading1"/>
        <w:pageBreakBefore/>
        <w:bidi/>
      </w:pPr>
      <w:r>
        <w:rPr>
          <w:rFonts w:ascii="Calibri" w:cs="Arial" w:eastAsia="Calibri" w:hAnsi="Calibri"/>
          <w:rtl/>
        </w:rPr>
        <w:t xml:space="preserve">8. من القياس السنوي إلى القياس المستمر</w:t>
      </w:r>
    </w:p>
    <w:p>
      <w:pPr>
        <w:bidi/>
        <w:spacing w:after="120" w:line="300"/>
      </w:pPr>
      <w:r>
        <w:rPr>
          <w:rFonts w:ascii="Calibri" w:cs="Arial" w:eastAsia="Calibri" w:hAnsi="Calibri"/>
          <w:rtl/>
        </w:rPr>
        <w:t xml:space="preserve">أغلب الدراسات السابقة تحسب البصمة </w:t>
      </w:r>
      <w:r>
        <w:rPr>
          <w:rFonts w:ascii="Calibri" w:cs="Arial" w:eastAsia="Calibri" w:hAnsi="Calibri"/>
          <w:b/>
          <w:bCs/>
          <w:color w:val="14302A"/>
          <w:rtl/>
        </w:rPr>
        <w:t xml:space="preserve">مرة في السنة</w:t>
      </w:r>
      <w:r>
        <w:rPr>
          <w:rFonts w:ascii="Calibri" w:cs="Arial" w:eastAsia="Calibri" w:hAnsi="Calibri"/>
          <w:rtl/>
        </w:rPr>
        <w:t xml:space="preserve"> من الفواتير والاستبيانات. أما الأبحاث الأحدث فتتجه إلى القياس المستمر:</w:t>
      </w:r>
    </w:p>
    <w:p>
      <w:pPr>
        <w:pStyle w:val="ListParagraph"/>
        <w:numPr>
          <w:ilvl w:val="0"/>
          <w:numId w:val="2"/>
        </w:numPr>
        <w:bidi/>
        <w:spacing w:after="60" w:line="290"/>
      </w:pPr>
      <w:r>
        <w:rPr>
          <w:rFonts w:ascii="Calibri" w:cs="Arial" w:eastAsia="Calibri" w:hAnsi="Calibri"/>
          <w:b/>
          <w:bCs/>
          <w:color w:val="14302A"/>
          <w:rtl/>
        </w:rPr>
        <w:t xml:space="preserve">مراقبة </w:t>
      </w:r>
      <w:r>
        <w:rPr>
          <w:rFonts w:ascii="Calibri" w:cs="Arial" w:eastAsia="Calibri" w:hAnsi="Calibri"/>
          <w:b/>
          <w:bCs/>
          <w:color w:val="14302A"/>
        </w:rPr>
        <w:t xml:space="preserve">IoT</w:t>
      </w:r>
      <w:r>
        <w:rPr>
          <w:rFonts w:ascii="Calibri" w:cs="Arial" w:eastAsia="Calibri" w:hAnsi="Calibri"/>
          <w:b/>
          <w:bCs/>
          <w:color w:val="14302A"/>
          <w:rtl/>
        </w:rPr>
        <w:t xml:space="preserve"> مستمرة في حرم جامعي</w:t>
      </w:r>
      <w:r>
        <w:rPr>
          <w:rFonts w:ascii="Calibri" w:cs="Arial" w:eastAsia="Calibri" w:hAnsi="Calibri"/>
          <w:rtl/>
        </w:rPr>
        <w:t xml:space="preserve"> أظهرت إمكانية توفير 40–70% من طاقة التكييف والتدفئة [25].</w:t>
      </w:r>
    </w:p>
    <w:p>
      <w:pPr>
        <w:pStyle w:val="ListParagraph"/>
        <w:numPr>
          <w:ilvl w:val="0"/>
          <w:numId w:val="2"/>
        </w:numPr>
        <w:bidi/>
        <w:spacing w:after="60" w:line="290"/>
      </w:pPr>
      <w:r>
        <w:rPr>
          <w:rFonts w:ascii="Calibri" w:cs="Arial" w:eastAsia="Calibri" w:hAnsi="Calibri"/>
          <w:b/>
          <w:bCs/>
          <w:color w:val="14302A"/>
          <w:rtl/>
        </w:rPr>
        <w:t xml:space="preserve">أجهزة </w:t>
      </w:r>
      <w:r>
        <w:rPr>
          <w:rFonts w:ascii="Calibri" w:cs="Arial" w:eastAsia="Calibri" w:hAnsi="Calibri"/>
          <w:b/>
          <w:bCs/>
          <w:color w:val="14302A"/>
        </w:rPr>
        <w:t xml:space="preserve">ESP32</w:t>
      </w:r>
      <w:r>
        <w:rPr>
          <w:rFonts w:ascii="Calibri" w:cs="Arial" w:eastAsia="Calibri" w:hAnsi="Calibri"/>
          <w:b/>
          <w:bCs/>
          <w:color w:val="14302A"/>
          <w:rtl/>
        </w:rPr>
        <w:t xml:space="preserve"> منخفضة التكلفة</w:t>
      </w:r>
      <w:r>
        <w:rPr>
          <w:rFonts w:ascii="Calibri" w:cs="Arial" w:eastAsia="Calibri" w:hAnsi="Calibri"/>
          <w:rtl/>
        </w:rPr>
        <w:t xml:space="preserve"> تقيس الكهرباء بخطأ أقصى نحو 12% يمكن تقليله بالمعايرة [36].</w:t>
      </w:r>
    </w:p>
    <w:p>
      <w:pPr>
        <w:pStyle w:val="ListParagraph"/>
        <w:numPr>
          <w:ilvl w:val="0"/>
          <w:numId w:val="2"/>
        </w:numPr>
        <w:bidi/>
        <w:spacing w:after="60" w:line="290"/>
      </w:pPr>
      <w:r>
        <w:rPr>
          <w:rFonts w:ascii="Calibri" w:cs="Arial" w:eastAsia="Calibri" w:hAnsi="Calibri"/>
          <w:b/>
          <w:bCs/>
          <w:color w:val="14302A"/>
          <w:rtl/>
        </w:rPr>
        <w:t xml:space="preserve">التوقع واكتشاف الهدر:</w:t>
      </w:r>
      <w:r>
        <w:rPr>
          <w:rFonts w:ascii="Calibri" w:cs="Arial" w:eastAsia="Calibri" w:hAnsi="Calibri"/>
          <w:rtl/>
        </w:rPr>
        <w:t xml:space="preserve"> نماذج </w:t>
      </w:r>
      <w:r>
        <w:rPr>
          <w:rFonts w:ascii="Calibri" w:cs="Arial" w:eastAsia="Calibri" w:hAnsi="Calibri"/>
        </w:rPr>
        <w:t xml:space="preserve">Gradient Boosting</w:t>
      </w:r>
      <w:r>
        <w:rPr>
          <w:rFonts w:ascii="Calibri" w:cs="Arial" w:eastAsia="Calibri" w:hAnsi="Calibri"/>
          <w:rtl/>
        </w:rPr>
        <w:t xml:space="preserve"> مع بيانات الإشغال تتوقع استهلاك المباني التعليمية [37، 38]، وطرق الذكاء الاصطناعي تكتشف الاستهلاك غير الطبيعي [39].</w:t>
      </w:r>
    </w:p>
    <w:p>
      <w:pPr>
        <w:pStyle w:val="ListParagraph"/>
        <w:numPr>
          <w:ilvl w:val="0"/>
          <w:numId w:val="2"/>
        </w:numPr>
        <w:bidi/>
        <w:spacing w:after="60" w:line="290"/>
      </w:pPr>
      <w:r>
        <w:rPr>
          <w:rFonts w:ascii="Calibri" w:cs="Arial" w:eastAsia="Calibri" w:hAnsi="Calibri"/>
          <w:b/>
          <w:bCs/>
          <w:color w:val="14302A"/>
          <w:rtl/>
        </w:rPr>
        <w:t xml:space="preserve">التنقل والطعام تلقائيًا:</w:t>
      </w:r>
      <w:r>
        <w:rPr>
          <w:rFonts w:ascii="Calibri" w:cs="Arial" w:eastAsia="Calibri" w:hAnsi="Calibri"/>
          <w:rtl/>
        </w:rPr>
        <w:t xml:space="preserve"> اكتشاف وسيلة المواصلات من الهاتف [30، 31، 33]، والتعرف على الوجبة من صورة [34، 35].</w:t>
      </w:r>
    </w:p>
    <w:p>
      <w:pPr>
        <w:pStyle w:val="Heading1"/>
        <w:bidi/>
      </w:pPr>
      <w:r>
        <w:rPr>
          <w:rFonts w:ascii="Calibri" w:cs="Arial" w:eastAsia="Calibri" w:hAnsi="Calibri"/>
          <w:rtl/>
        </w:rPr>
        <w:t xml:space="preserve">9. الفجوة البحثية وما يضيفه مشروع بصمتي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ما تفعله الأبحاث الحالية</w:t>
            </w:r>
          </w:p>
        </w:tc>
        <w:tc>
          <w:tcPr>
            <w:tcW w:type="dxa" w:w="4819"/>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rtl/>
              </w:rPr>
              <w:t xml:space="preserve">ما يضيفه مشروع بصمتي</w:t>
            </w:r>
          </w:p>
        </w:tc>
      </w:tr>
      <w:tr>
        <w:trPr>
          <w:cantSplit/>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جرد سنوي للمؤسسة كلها من الفواتير والاستبيانات [10، 14، 18، 22]</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قياس يومي، بل كل 10 ثوانٍ، لدور واحد في مبنى حكومي</w:t>
            </w:r>
          </w:p>
        </w:tc>
      </w:tr>
      <w:tr>
        <w:trPr>
          <w:cantSplit/>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التنقل من استبيان مرة في السنة، وهو الأعلى في عدم اليقين [19]</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رحلات كل متطوع تُقاس تلقائيًا من الهاتف</w:t>
            </w:r>
          </w:p>
        </w:tc>
      </w:tr>
      <w:tr>
        <w:trPr>
          <w:cantSplit/>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النتيجة لكل فرد = الإجمالي ÷ عدد الأفراد [13، 18]</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نصيب فعلي لكل شخص حسب ساعات تواجده، إضافة إلى بصمته الشخصية</w:t>
            </w:r>
          </w:p>
        </w:tc>
      </w:tr>
      <w:tr>
        <w:trPr>
          <w:cantSplit/>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معاملات أجنبية غالبًا</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معاملات مصرية: الشبكة، والميكروباص، والمترو، والأطباق المصرية</w:t>
            </w:r>
          </w:p>
        </w:tc>
      </w:tr>
      <w:tr>
        <w:trPr>
          <w:cantSplit/>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تقرير للإدارة بعد انتهاء السنة</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tl/>
              </w:rPr>
              <w:t xml:space="preserve">لوحة يومية لرئيس القسم وتنبيهات هدر فورية بعد المواعيد</w:t>
            </w:r>
          </w:p>
        </w:tc>
      </w:tr>
    </w:tbl>
    <w:p>
      <w:pPr>
        <w:spacing w:after="60"/>
      </w:pPr>
    </w:p>
    <w:p>
      <w:pPr>
        <w:bidi/>
        <w:spacing w:after="120" w:line="300"/>
      </w:pPr>
      <w:r>
        <w:rPr>
          <w:rFonts w:ascii="Calibri" w:cs="Arial" w:eastAsia="Calibri" w:hAnsi="Calibri"/>
          <w:b/>
          <w:bCs/>
          <w:color w:val="14302A"/>
          <w:rtl/>
        </w:rPr>
        <w:t xml:space="preserve">الخلاصة:</w:t>
      </w:r>
      <w:r>
        <w:rPr>
          <w:rFonts w:ascii="Calibri" w:cs="Arial" w:eastAsia="Calibri" w:hAnsi="Calibri"/>
          <w:rtl/>
        </w:rPr>
        <w:t xml:space="preserve"> يطبق المشروع منهجية الـ </w:t>
      </w:r>
      <w:r>
        <w:rPr>
          <w:rFonts w:ascii="Calibri" w:cs="Arial" w:eastAsia="Calibri" w:hAnsi="Calibri"/>
        </w:rPr>
        <w:t xml:space="preserve">GHG Protocol</w:t>
      </w:r>
      <w:r>
        <w:rPr>
          <w:rFonts w:ascii="Calibri" w:cs="Arial" w:eastAsia="Calibri" w:hAnsi="Calibri"/>
          <w:rtl/>
        </w:rPr>
        <w:t xml:space="preserve"> نفسها التي تستخدمها الأبحاث، لكن على مستوى الدور وبقياس مستمر، ليغطي النطاق 2 (الكهرباء) قياسًا فعليًا، والجزء الأكبر من النطاق 3 (التنقل والطعام) لكل شخص.</w:t>
      </w:r>
    </w:p>
    <w:p>
      <w:pPr>
        <w:pStyle w:val="Heading1"/>
        <w:pageBreakBefore/>
        <w:bidi/>
      </w:pPr>
      <w:r>
        <w:rPr>
          <w:rFonts w:ascii="Calibri" w:cs="Arial" w:eastAsia="Calibri" w:hAnsi="Calibri"/>
          <w:rtl/>
        </w:rPr>
        <w:t xml:space="preserve">10. ملخص كل بحث</w:t>
      </w:r>
    </w:p>
    <w:p>
      <w:pPr>
        <w:pStyle w:val="Heading2"/>
        <w:bidi/>
      </w:pPr>
      <w:r>
        <w:rPr>
          <w:rFonts w:ascii="Calibri" w:cs="Arial" w:eastAsia="Calibri" w:hAnsi="Calibri"/>
          <w:rtl/>
        </w:rPr>
        <w:t xml:space="preserve">10.1 قياس بصمة المنشآت التعليمية: المراجعات والطرق والأدوات</w:t>
      </w:r>
    </w:p>
    <w:p>
      <w:pPr>
        <w:keepNext/>
        <w:spacing w:after="40" w:before="180"/>
      </w:pPr>
      <w:r>
        <w:rPr>
          <w:rFonts w:ascii="Calibri" w:cs="Arial" w:eastAsia="Calibri" w:hAnsi="Calibri"/>
          <w:b/>
          <w:bCs/>
          <w:color w:val="14302A"/>
          <w:sz w:val="23"/>
          <w:szCs w:val="23"/>
        </w:rPr>
        <w:t xml:space="preserve">‎[1] Valls-Val and Bovea (2021)‎</w:t>
      </w:r>
    </w:p>
    <w:p>
      <w:pPr>
        <w:keepNext/>
        <w:spacing w:after="60" w:line="260"/>
      </w:pPr>
      <w:r>
        <w:rPr>
          <w:rFonts w:ascii="Calibri" w:cs="Arial" w:eastAsia="Calibri" w:hAnsi="Calibri"/>
          <w:color w:val="5F6E68"/>
          <w:sz w:val="18"/>
          <w:szCs w:val="18"/>
        </w:rPr>
        <w:t xml:space="preserve">‎Valls-Val, K., &amp; Bovea, M. D. (2021). Carbon footprint in higher education institutions: a literature review and prospects for future research. Clean Technologies and Environmental Policy, 23, 2523–2542. doi:10.1007/s10098-021-02180-2‎</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مراجعة منهجية لطرق حساب البصمة الكربونية في الجامعات (دراسات حتى مارس 2021): النطاقات والطرق ومصادر الانبعاث، مع اتجاهات للبحث المستقبلي.</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تضع الدور في إطار منشأة جامعية، وتوضح أن التقييمات غالبًا سنوية وغير متسقة.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1mruulddhuwwy1uves-ki">
        <w:r>
          <w:rPr>
            <w:rStyle w:val="Hyperlink"/>
            <w:rFonts w:ascii="Calibri" w:cs="Arial" w:eastAsia="Calibri" w:hAnsi="Calibri"/>
          </w:rPr>
          <w:t xml:space="preserve">https://doi.org/10.1007/s10098-021-02180-2</w:t>
        </w:r>
      </w:hyperlink>
      <w:r>
        <w:rPr>
          <w:rFonts w:ascii="Calibri" w:cs="Arial" w:eastAsia="Calibri" w:hAnsi="Calibri"/>
          <w:color w:val="5F6E68"/>
          <w:sz w:val="18"/>
          <w:szCs w:val="18"/>
          <w:rtl/>
        </w:rPr>
        <w:t xml:space="preserve"> · نسخة على مستودع جامعة </w:t>
      </w:r>
      <w:r>
        <w:rPr>
          <w:rFonts w:ascii="Calibri" w:cs="Arial" w:eastAsia="Calibri" w:hAnsi="Calibri"/>
          <w:color w:val="5F6E68"/>
          <w:sz w:val="18"/>
          <w:szCs w:val="18"/>
        </w:rPr>
        <w:t xml:space="preserve">Jaume I: repositori.uji.es</w:t>
      </w:r>
    </w:p>
    <w:p>
      <w:pPr>
        <w:keepNext/>
        <w:spacing w:after="40" w:before="180"/>
      </w:pPr>
      <w:r>
        <w:rPr>
          <w:rFonts w:ascii="Calibri" w:cs="Arial" w:eastAsia="Calibri" w:hAnsi="Calibri"/>
          <w:b/>
          <w:bCs/>
          <w:color w:val="14302A"/>
          <w:sz w:val="23"/>
          <w:szCs w:val="23"/>
        </w:rPr>
        <w:t xml:space="preserve">‎[2] Li et al. (2021)‎</w:t>
      </w:r>
    </w:p>
    <w:p>
      <w:pPr>
        <w:keepNext/>
        <w:spacing w:after="60" w:line="260"/>
      </w:pPr>
      <w:r>
        <w:rPr>
          <w:rFonts w:ascii="Calibri" w:cs="Arial" w:eastAsia="Calibri" w:hAnsi="Calibri"/>
          <w:color w:val="5F6E68"/>
          <w:sz w:val="18"/>
          <w:szCs w:val="18"/>
        </w:rPr>
        <w:t xml:space="preserve">‎Li, Z., Chen, Z., Yang, N., Wei, K., Ling, Z., Liu, Q., Chen, G., &amp; Ye, B. H. (2021). Trends in research on the carbon footprint of higher education: a bibliometric analysis (2010–2019). Journal of Cleaner Production, 289, 125642. doi:10.1016/j.jclepro.2020.125642‎</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تحليل ببليومتري لـ 283 بحثًا (2010–2019 من </w:t>
      </w:r>
      <w:r>
        <w:rPr>
          <w:rFonts w:ascii="Calibri" w:cs="Arial" w:eastAsia="Calibri" w:hAnsi="Calibri"/>
        </w:rPr>
        <w:t xml:space="preserve">Web of Science)</w:t>
      </w:r>
      <w:r>
        <w:rPr>
          <w:rFonts w:ascii="Calibri" w:cs="Arial" w:eastAsia="Calibri" w:hAnsi="Calibri"/>
          <w:rtl/>
        </w:rPr>
        <w:t xml:space="preserve"> عن البصمة الكربونية للتعليم العالي: من ينشر وأين وما الموضوعات المتنامية؛ وتتصدر جامعات كاليفورنيا والولايات المتحدة، ومجلة </w:t>
      </w:r>
      <w:r>
        <w:rPr>
          <w:rFonts w:ascii="Calibri" w:cs="Arial" w:eastAsia="Calibri" w:hAnsi="Calibri"/>
        </w:rPr>
        <w:t xml:space="preserve">Journal of Cleaner Production</w:t>
      </w:r>
      <w:r>
        <w:rPr>
          <w:rFonts w:ascii="Calibri" w:cs="Arial" w:eastAsia="Calibri" w:hAnsi="Calibri"/>
          <w:rtl/>
        </w:rPr>
        <w:t xml:space="preserve"> هي الأكثر نشرًا.</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يرسم خريطة المجال ويوضح أن قياس بصمة الحرم الجامعي مجال بحثي راسخ نبني عليه.</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bni1gr7dbbhpc1fzanorn">
        <w:r>
          <w:rPr>
            <w:rStyle w:val="Hyperlink"/>
            <w:rFonts w:ascii="Calibri" w:cs="Arial" w:eastAsia="Calibri" w:hAnsi="Calibri"/>
          </w:rPr>
          <w:t xml:space="preserve">https://doi.org/10.1016/j.jclepro.2020.125642</w:t>
        </w:r>
      </w:hyperlink>
      <w:r>
        <w:rPr>
          <w:rFonts w:ascii="Calibri" w:cs="Arial" w:eastAsia="Calibri" w:hAnsi="Calibri"/>
          <w:color w:val="5F6E68"/>
          <w:sz w:val="18"/>
          <w:szCs w:val="18"/>
          <w:rtl/>
        </w:rPr>
        <w:t xml:space="preserve"> · </w:t>
      </w:r>
      <w:r>
        <w:rPr>
          <w:rFonts w:ascii="Calibri" w:cs="Arial" w:eastAsia="Calibri" w:hAnsi="Calibri"/>
          <w:color w:val="5F6E68"/>
          <w:sz w:val="18"/>
          <w:szCs w:val="18"/>
        </w:rPr>
        <w:t xml:space="preserve">Elsevier</w:t>
      </w:r>
      <w:r>
        <w:rPr>
          <w:rFonts w:ascii="Calibri" w:cs="Arial" w:eastAsia="Calibri" w:hAnsi="Calibri"/>
          <w:color w:val="5F6E68"/>
          <w:sz w:val="18"/>
          <w:szCs w:val="18"/>
          <w:rtl/>
        </w:rPr>
        <w:t xml:space="preserve"> (من خلال حساب مكتبة الجامعة)</w:t>
      </w:r>
    </w:p>
    <w:p>
      <w:pPr>
        <w:keepNext/>
        <w:spacing w:after="40" w:before="180"/>
      </w:pPr>
      <w:r>
        <w:rPr>
          <w:rFonts w:ascii="Calibri" w:cs="Arial" w:eastAsia="Calibri" w:hAnsi="Calibri"/>
          <w:b/>
          <w:bCs/>
          <w:color w:val="14302A"/>
          <w:sz w:val="23"/>
          <w:szCs w:val="23"/>
        </w:rPr>
        <w:t xml:space="preserve">‎[3] Helmers, Chang and Dauwels (2021)‎</w:t>
      </w:r>
    </w:p>
    <w:p>
      <w:pPr>
        <w:keepNext/>
        <w:spacing w:after="60" w:line="260"/>
      </w:pPr>
      <w:r>
        <w:rPr>
          <w:rFonts w:ascii="Calibri" w:cs="Arial" w:eastAsia="Calibri" w:hAnsi="Calibri"/>
          <w:color w:val="5F6E68"/>
          <w:sz w:val="18"/>
          <w:szCs w:val="18"/>
        </w:rPr>
        <w:t xml:space="preserve">‎Helmers, E., Chang, C. C., &amp; Dauwels, J. (2021). Carbon footprinting of universities worldwide: Part I—objective comparison by standardized metrics. Environmental Sciences Europe, 33, 30. doi:10.1186/s12302-021-00454-6‎</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يجمع بيانات البصمة الكربونية لعشرين جامعة حول العالم، ويوضح أن الأرقام المعلنة صعبة المقارنة لاختلاف الطرق والمقاييس والأهداف، ويقترح مقاييس موحدة.</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يدعم عرض البصمة لكل شخص ولكل ساعة-شخص (مؤشر الكثافة </w:t>
      </w:r>
      <w:r>
        <w:rPr>
          <w:rFonts w:ascii="Calibri" w:cs="Arial" w:eastAsia="Calibri" w:hAnsi="Calibri"/>
        </w:rPr>
        <w:t xml:space="preserve">I)</w:t>
      </w:r>
      <w:r>
        <w:rPr>
          <w:rFonts w:ascii="Calibri" w:cs="Arial" w:eastAsia="Calibri" w:hAnsi="Calibri"/>
          <w:rtl/>
        </w:rPr>
        <w:t xml:space="preserve">، لا الإجمالي فقط.</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a0rjizwqzt3n_xkvrgypp">
        <w:r>
          <w:rPr>
            <w:rStyle w:val="Hyperlink"/>
            <w:rFonts w:ascii="Calibri" w:cs="Arial" w:eastAsia="Calibri" w:hAnsi="Calibri"/>
          </w:rPr>
          <w:t xml:space="preserve">https://doi.org/10.1186/s12302-021-00454-6</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‎[4] Valls-Val and Bovea (CO2UNV) (2022)‎</w:t>
      </w:r>
    </w:p>
    <w:p>
      <w:pPr>
        <w:keepNext/>
        <w:spacing w:after="60" w:line="260"/>
      </w:pPr>
      <w:r>
        <w:rPr>
          <w:rFonts w:ascii="Calibri" w:cs="Arial" w:eastAsia="Calibri" w:hAnsi="Calibri"/>
          <w:color w:val="5F6E68"/>
          <w:sz w:val="18"/>
          <w:szCs w:val="18"/>
        </w:rPr>
        <w:t xml:space="preserve">‎Valls-Val, K., &amp; Bovea, M. D. (2022). Carbon footprint assessment tool for universities: CO2UNV. Sustainable Production and Consumption, 29, 791–804. doi:10.1016/j.spc.2021.11.020‎</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أداة </w:t>
      </w:r>
      <w:r>
        <w:rPr>
          <w:rFonts w:ascii="Calibri" w:cs="Arial" w:eastAsia="Calibri" w:hAnsi="Calibri"/>
        </w:rPr>
        <w:t xml:space="preserve">CO2UNV</w:t>
      </w:r>
      <w:r>
        <w:rPr>
          <w:rFonts w:ascii="Calibri" w:cs="Arial" w:eastAsia="Calibri" w:hAnsi="Calibri"/>
          <w:rtl/>
        </w:rPr>
        <w:t xml:space="preserve"> تحسب انبعاثات الجامعة في النطاقات 1 و2 و3 للجامعة كلها أو لكل مبنى على حدة، بمصادر ومعاملات انبعاث افتراضية للمنشآت التعليمية، مع متابعة التغير عبر الزمن والتعويض؛ وطُبقت وتُحقق منها في جامعة </w:t>
      </w:r>
      <w:r>
        <w:rPr>
          <w:rFonts w:ascii="Calibri" w:cs="Arial" w:eastAsia="Calibri" w:hAnsi="Calibri"/>
        </w:rPr>
        <w:t xml:space="preserve">Jaume I.</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تثبت إمكانية حساب البصمة لكل مبنى، وهو بالضبط نهجنا لكل دور؛ وقائمة مصادر الانبعاث فيها توجه تغطيتنا للنطاقات.</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1hnkwwmbo2cb_ixhrhmot">
        <w:r>
          <w:rPr>
            <w:rStyle w:val="Hyperlink"/>
            <w:rFonts w:ascii="Calibri" w:cs="Arial" w:eastAsia="Calibri" w:hAnsi="Calibri"/>
          </w:rPr>
          <w:t xml:space="preserve">https://doi.org/10.1016/j.spc.2021.11.020</w:t>
        </w:r>
      </w:hyperlink>
      <w:r>
        <w:rPr>
          <w:rFonts w:ascii="Calibri" w:cs="Arial" w:eastAsia="Calibri" w:hAnsi="Calibri"/>
          <w:color w:val="5F6E68"/>
          <w:sz w:val="18"/>
          <w:szCs w:val="18"/>
          <w:rtl/>
        </w:rPr>
        <w:t xml:space="preserve"> · نسخة على مستودع جامعة </w:t>
      </w:r>
      <w:r>
        <w:rPr>
          <w:rFonts w:ascii="Calibri" w:cs="Arial" w:eastAsia="Calibri" w:hAnsi="Calibri"/>
          <w:color w:val="5F6E68"/>
          <w:sz w:val="18"/>
          <w:szCs w:val="18"/>
        </w:rPr>
        <w:t xml:space="preserve">Jaume I: repositori.uji.es</w:t>
      </w:r>
    </w:p>
    <w:p>
      <w:pPr>
        <w:keepNext/>
        <w:spacing w:after="40" w:before="180"/>
      </w:pPr>
      <w:r>
        <w:rPr>
          <w:rFonts w:ascii="Calibri" w:cs="Arial" w:eastAsia="Calibri" w:hAnsi="Calibri"/>
          <w:b/>
          <w:bCs/>
          <w:color w:val="14302A"/>
          <w:sz w:val="23"/>
          <w:szCs w:val="23"/>
        </w:rPr>
        <w:t xml:space="preserve">‎[5] Guerrero-Lucendo et al. (2022)‎</w:t>
      </w:r>
    </w:p>
    <w:p>
      <w:pPr>
        <w:keepNext/>
        <w:spacing w:after="60" w:line="260"/>
      </w:pPr>
      <w:r>
        <w:rPr>
          <w:rFonts w:ascii="Calibri" w:cs="Arial" w:eastAsia="Calibri" w:hAnsi="Calibri"/>
          <w:color w:val="5F6E68"/>
          <w:sz w:val="18"/>
          <w:szCs w:val="18"/>
        </w:rPr>
        <w:t xml:space="preserve">‎Guerrero-Lucendo, A., García-Orenes, F., Navarro-Pedreño, J., &amp; Alba-Hidalgo, D. (2022). General mapping of the environmental performance in climate change mitigation of Spanish universities through a standardized carbon footprint calculation tool. International Journal of Environmental Research and Public Health, 19(17), 10964. doi:10.3390/ijerph191710964‎</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يقارن الأداء المناخي للجامعات الإسبانية بتطبيق أداة حساب موحدة للبصمة الكربونية عليها جميعًا، لتصبح النتائج قابلة للمقارنة.</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يدعم استخدام طريقة واحدة ومجموعة معاملات واحدة لكل دور ولكل شخص، حتى تُقارن النتائج عبر الزمن.</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8msoccglkcz9vnfh4hli1">
        <w:r>
          <w:rPr>
            <w:rStyle w:val="Hyperlink"/>
            <w:rFonts w:ascii="Calibri" w:cs="Arial" w:eastAsia="Calibri" w:hAnsi="Calibri"/>
          </w:rPr>
          <w:t xml:space="preserve">https://doi.org/10.3390/ijerph191710964</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‎[6] Herth and Blok (2023)‎</w:t>
      </w:r>
    </w:p>
    <w:p>
      <w:pPr>
        <w:keepNext/>
        <w:spacing w:after="60" w:line="260"/>
      </w:pPr>
      <w:r>
        <w:rPr>
          <w:rFonts w:ascii="Calibri" w:cs="Arial" w:eastAsia="Calibri" w:hAnsi="Calibri"/>
          <w:color w:val="5F6E68"/>
          <w:sz w:val="18"/>
          <w:szCs w:val="18"/>
        </w:rPr>
        <w:t xml:space="preserve">‎Herth, A., &amp; Blok, K. (2023). Quantifying universities’ direct and indirect carbon emissions: the case of Delft University of Technology. International Journal of Sustainability in Higher Education, 24(9). doi:10.1108/IJSHE-04-2022-0121‎</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يحسب بصمة جامعة </w:t>
      </w:r>
      <w:r>
        <w:rPr>
          <w:rFonts w:ascii="Calibri" w:cs="Arial" w:eastAsia="Calibri" w:hAnsi="Calibri"/>
        </w:rPr>
        <w:t xml:space="preserve">TU Delft</w:t>
      </w:r>
      <w:r>
        <w:rPr>
          <w:rFonts w:ascii="Calibri" w:cs="Arial" w:eastAsia="Calibri" w:hAnsi="Calibri"/>
          <w:rtl/>
        </w:rPr>
        <w:t xml:space="preserve"> لعام 2018 (المرافق واللوجستيات والمشتريات) بتحليل العمليات وتحليل المدخلات والمخرجات الاقتصادي: نحو 106 ألف طن </w:t>
      </w:r>
      <w:r>
        <w:rPr>
          <w:rFonts w:ascii="Calibri" w:cs="Arial" w:eastAsia="Calibri" w:hAnsi="Calibri"/>
        </w:rPr>
        <w:t xml:space="preserve">CO₂e</w:t>
      </w:r>
      <w:r>
        <w:rPr>
          <w:rFonts w:ascii="Calibri" w:cs="Arial" w:eastAsia="Calibri" w:hAnsi="Calibri"/>
          <w:rtl/>
        </w:rPr>
        <w:t xml:space="preserve">، 80% منها في النطاق 3؛ ويرى أن الاعتماد على نماذج المدخلات والمخرجات وحدها طريقة غير دقيقة لحساب بصمة الجامعة.</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يدعم قياس الأنشطة مباشرة (</w:t>
      </w:r>
      <w:r>
        <w:rPr>
          <w:rFonts w:ascii="Calibri" w:cs="Arial" w:eastAsia="Calibri" w:hAnsi="Calibri"/>
        </w:rPr>
        <w:t xml:space="preserve">kWh</w:t>
      </w:r>
      <w:r>
        <w:rPr>
          <w:rFonts w:ascii="Calibri" w:cs="Arial" w:eastAsia="Calibri" w:hAnsi="Calibri"/>
          <w:rtl/>
        </w:rPr>
        <w:t xml:space="preserve"> و</w:t>
      </w:r>
      <w:r>
        <w:rPr>
          <w:rFonts w:ascii="Calibri" w:cs="Arial" w:eastAsia="Calibri" w:hAnsi="Calibri"/>
        </w:rPr>
        <w:t xml:space="preserve">km</w:t>
      </w:r>
      <w:r>
        <w:rPr>
          <w:rFonts w:ascii="Calibri" w:cs="Arial" w:eastAsia="Calibri" w:hAnsi="Calibri"/>
          <w:rtl/>
        </w:rPr>
        <w:t xml:space="preserve"> والوجبات) بدل تقديرها من الإنفاق، وهذا ما يفعله جهاز القياس والتطبيق.</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0h9tv9b3o_8ypb0bbltrr">
        <w:r>
          <w:rPr>
            <w:rStyle w:val="Hyperlink"/>
            <w:rFonts w:ascii="Calibri" w:cs="Arial" w:eastAsia="Calibri" w:hAnsi="Calibri"/>
          </w:rPr>
          <w:t xml:space="preserve">https://doi.org/10.1108/IJSHE-04-2022-0121</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Emerald)</w:t>
      </w:r>
    </w:p>
    <w:p>
      <w:pPr>
        <w:keepNext/>
        <w:spacing w:after="40" w:before="180"/>
      </w:pPr>
      <w:r>
        <w:rPr>
          <w:rFonts w:ascii="Calibri" w:cs="Arial" w:eastAsia="Calibri" w:hAnsi="Calibri"/>
          <w:b/>
          <w:bCs/>
          <w:color w:val="14302A"/>
          <w:sz w:val="23"/>
          <w:szCs w:val="23"/>
        </w:rPr>
        <w:t xml:space="preserve">‎[7] Kiehle et al. (2023)‎</w:t>
      </w:r>
    </w:p>
    <w:p>
      <w:pPr>
        <w:keepNext/>
        <w:spacing w:after="60" w:line="260"/>
      </w:pPr>
      <w:r>
        <w:rPr>
          <w:rFonts w:ascii="Calibri" w:cs="Arial" w:eastAsia="Calibri" w:hAnsi="Calibri"/>
          <w:color w:val="5F6E68"/>
          <w:sz w:val="18"/>
          <w:szCs w:val="18"/>
        </w:rPr>
        <w:t xml:space="preserve">‎Kiehle, J., Kopsakangas-Savolainen, M., Hilli, M., &amp; Pongrácz, E. (2023). Carbon footprint at institutions of higher education: the case of the University of Oulu. Journal of Environmental Management, 329, 117056. doi:10.1016/j.jenvman.2022.117056‎</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بصمة جامعة </w:t>
      </w:r>
      <w:r>
        <w:rPr>
          <w:rFonts w:ascii="Calibri" w:cs="Arial" w:eastAsia="Calibri" w:hAnsi="Calibri"/>
        </w:rPr>
        <w:t xml:space="preserve">Oulu</w:t>
      </w:r>
      <w:r>
        <w:rPr>
          <w:rFonts w:ascii="Calibri" w:cs="Arial" w:eastAsia="Calibri" w:hAnsi="Calibri"/>
          <w:rtl/>
        </w:rPr>
        <w:t xml:space="preserve"> بنموذج هجين يجمع تحليل المدخلات والمخرجات البيئي وتقييم دورة الحياة: 19,072 طن </w:t>
      </w:r>
      <w:r>
        <w:rPr>
          <w:rFonts w:ascii="Calibri" w:cs="Arial" w:eastAsia="Calibri" w:hAnsi="Calibri"/>
        </w:rPr>
        <w:t xml:space="preserve">CO₂e</w:t>
      </w:r>
      <w:r>
        <w:rPr>
          <w:rFonts w:ascii="Calibri" w:cs="Arial" w:eastAsia="Calibri" w:hAnsi="Calibri"/>
          <w:rtl/>
        </w:rPr>
        <w:t xml:space="preserve"> في 2019، وأكبر نصيب لتدفئة الحرم بالتدفئة المركزية.</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طريقة كاملة وحديثة لجامعة واحدة، وتوضح أن طاقة المباني (التدفئة في فنلندا والتبريد في مصر) غالبًا البند الأكبر.</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1trofxfbf3qmm1s9h8zji">
        <w:r>
          <w:rPr>
            <w:rStyle w:val="Hyperlink"/>
            <w:rFonts w:ascii="Calibri" w:cs="Arial" w:eastAsia="Calibri" w:hAnsi="Calibri"/>
          </w:rPr>
          <w:t xml:space="preserve">https://doi.org/10.1016/j.jenvman.2022.117056</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CC BY)</w:t>
      </w:r>
    </w:p>
    <w:p>
      <w:pPr>
        <w:keepNext/>
        <w:spacing w:after="40" w:before="180"/>
      </w:pPr>
      <w:r>
        <w:rPr>
          <w:rFonts w:ascii="Calibri" w:cs="Arial" w:eastAsia="Calibri" w:hAnsi="Calibri"/>
          <w:b/>
          <w:bCs/>
          <w:color w:val="14302A"/>
          <w:sz w:val="23"/>
          <w:szCs w:val="23"/>
        </w:rPr>
        <w:t xml:space="preserve">‎[8] Deda, Gervásio and Quina (2025)‎</w:t>
      </w:r>
    </w:p>
    <w:p>
      <w:pPr>
        <w:keepNext/>
        <w:spacing w:after="60" w:line="260"/>
      </w:pPr>
      <w:r>
        <w:rPr>
          <w:rFonts w:ascii="Calibri" w:cs="Arial" w:eastAsia="Calibri" w:hAnsi="Calibri"/>
          <w:color w:val="5F6E68"/>
          <w:sz w:val="18"/>
          <w:szCs w:val="18"/>
        </w:rPr>
        <w:t xml:space="preserve">‎Deda, D., Gervásio, H., &amp; Quina, M. J. (2025). Advancing carbon footprint in higher education: an integrated assessment model. The International Journal of Life Cycle Assessment. doi:10.1007/s11367-025-02514-y‎</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يقترح نموذجًا متكاملًا لتقييم البصمة الكربونية لمؤسسات التعليم العالي، طُوّر في جامعة </w:t>
      </w:r>
      <w:r>
        <w:rPr>
          <w:rFonts w:ascii="Calibri" w:cs="Arial" w:eastAsia="Calibri" w:hAnsi="Calibri"/>
        </w:rPr>
        <w:t xml:space="preserve">Coimbra.</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أحدث مقترح منهجي (2025)، ومفيد لفصل المنهجية في تقريرنا.</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jpoikd5zkrtowk9mlhqff">
        <w:r>
          <w:rPr>
            <w:rStyle w:val="Hyperlink"/>
            <w:rFonts w:ascii="Calibri" w:cs="Arial" w:eastAsia="Calibri" w:hAnsi="Calibri"/>
          </w:rPr>
          <w:t xml:space="preserve">https://doi.org/10.1007/s11367-025-02514-y</w:t>
        </w:r>
      </w:hyperlink>
      <w:r>
        <w:rPr>
          <w:rFonts w:ascii="Calibri" w:cs="Arial" w:eastAsia="Calibri" w:hAnsi="Calibri"/>
          <w:color w:val="5F6E68"/>
          <w:sz w:val="18"/>
          <w:szCs w:val="18"/>
          <w:rtl/>
        </w:rPr>
        <w:t xml:space="preserve"> · </w:t>
      </w:r>
      <w:r>
        <w:rPr>
          <w:rFonts w:ascii="Calibri" w:cs="Arial" w:eastAsia="Calibri" w:hAnsi="Calibri"/>
          <w:color w:val="5F6E68"/>
          <w:sz w:val="18"/>
          <w:szCs w:val="18"/>
        </w:rPr>
        <w:t xml:space="preserve">Springer</w:t>
      </w:r>
      <w:r>
        <w:rPr>
          <w:rFonts w:ascii="Calibri" w:cs="Arial" w:eastAsia="Calibri" w:hAnsi="Calibri"/>
          <w:color w:val="5F6E68"/>
          <w:sz w:val="18"/>
          <w:szCs w:val="18"/>
          <w:rtl/>
        </w:rPr>
        <w:t xml:space="preserve"> (من خلال حساب مكتبة الجامعة)</w:t>
      </w:r>
    </w:p>
    <w:p>
      <w:pPr>
        <w:keepNext/>
        <w:spacing w:after="40" w:before="180"/>
      </w:pPr>
      <w:r>
        <w:rPr>
          <w:rFonts w:ascii="Calibri" w:cs="Arial" w:eastAsia="Calibri" w:hAnsi="Calibri"/>
          <w:b/>
          <w:bCs/>
          <w:color w:val="14302A"/>
          <w:sz w:val="23"/>
          <w:szCs w:val="23"/>
        </w:rPr>
        <w:t xml:space="preserve">‎[9] Abdelbasier et al. (2022)‎</w:t>
      </w:r>
    </w:p>
    <w:p>
      <w:pPr>
        <w:keepNext/>
        <w:spacing w:after="60" w:line="260"/>
      </w:pPr>
      <w:r>
        <w:rPr>
          <w:rFonts w:ascii="Calibri" w:cs="Arial" w:eastAsia="Calibri" w:hAnsi="Calibri"/>
          <w:color w:val="5F6E68"/>
          <w:sz w:val="18"/>
          <w:szCs w:val="18"/>
        </w:rPr>
        <w:t xml:space="preserve">‎Abdelbasier, A. M., Kamel, M. M., Donia, N. S., &amp; Nawar, H. A. (2022). Carbon footprint monitoring and mitigation in higher education: a meta-analysis review. Journal of Environmental Sciences (Ain Shams University), 51(11).‎</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مراجعة مصرية (مجلة العلوم البيئية بجامعة عين شمس) تقارن طرق رصد البصمة الكربونية وخفضها في أربع جامعات (</w:t>
      </w:r>
      <w:r>
        <w:rPr>
          <w:rFonts w:ascii="Calibri" w:cs="Arial" w:eastAsia="Calibri" w:hAnsi="Calibri"/>
        </w:rPr>
        <w:t xml:space="preserve">BITS Pilani</w:t>
      </w:r>
      <w:r>
        <w:rPr>
          <w:rFonts w:ascii="Calibri" w:cs="Arial" w:eastAsia="Calibri" w:hAnsi="Calibri"/>
          <w:rtl/>
        </w:rPr>
        <w:t xml:space="preserve"> والجامعة الأمريكية بالشارقة و</w:t>
      </w:r>
      <w:r>
        <w:rPr>
          <w:rFonts w:ascii="Calibri" w:cs="Arial" w:eastAsia="Calibri" w:hAnsi="Calibri"/>
        </w:rPr>
        <w:t xml:space="preserve">King’s College London</w:t>
      </w:r>
      <w:r>
        <w:rPr>
          <w:rFonts w:ascii="Calibri" w:cs="Arial" w:eastAsia="Calibri" w:hAnsi="Calibri"/>
          <w:rtl/>
        </w:rPr>
        <w:t xml:space="preserve"> و</w:t>
      </w:r>
      <w:r>
        <w:rPr>
          <w:rFonts w:ascii="Calibri" w:cs="Arial" w:eastAsia="Calibri" w:hAnsi="Calibri"/>
        </w:rPr>
        <w:t xml:space="preserve">St. Edward’s)</w:t>
      </w:r>
      <w:r>
        <w:rPr>
          <w:rFonts w:ascii="Calibri" w:cs="Arial" w:eastAsia="Calibri" w:hAnsi="Calibri"/>
          <w:rtl/>
        </w:rPr>
        <w:t xml:space="preserve">؛ والكهرباء نصيب رئيسي من انبعاثات الحرم.</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مصدر مصري يؤكد أن الكهرباء مصدر رئيسي في الحرم الجامعي، وهي ما تقيسه أجهزة الدور.</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hmdavyjszn12mjcy22h5w">
        <w:r>
          <w:rPr>
            <w:rStyle w:val="Hyperlink"/>
            <w:rFonts w:ascii="Calibri" w:cs="Arial" w:eastAsia="Calibri" w:hAnsi="Calibri"/>
          </w:rPr>
          <w:t xml:space="preserve">https://jes.journals.ekb.eg/article_295030.html</w:t>
        </w:r>
      </w:hyperlink>
      <w:r>
        <w:rPr>
          <w:rFonts w:ascii="Calibri" w:cs="Arial" w:eastAsia="Calibri" w:hAnsi="Calibri"/>
          <w:color w:val="5F6E68"/>
          <w:sz w:val="18"/>
          <w:szCs w:val="18"/>
          <w:rtl/>
        </w:rPr>
        <w:t xml:space="preserve"> · متاح على بنك المعرفة المصري (</w:t>
      </w:r>
      <w:r>
        <w:rPr>
          <w:rFonts w:ascii="Calibri" w:cs="Arial" w:eastAsia="Calibri" w:hAnsi="Calibri"/>
          <w:color w:val="5F6E68"/>
          <w:sz w:val="18"/>
          <w:szCs w:val="18"/>
        </w:rPr>
        <w:t xml:space="preserve">EKB)</w:t>
      </w:r>
    </w:p>
    <w:p>
      <w:pPr>
        <w:pStyle w:val="Heading2"/>
        <w:bidi/>
      </w:pPr>
      <w:r>
        <w:rPr>
          <w:rFonts w:ascii="Calibri" w:cs="Arial" w:eastAsia="Calibri" w:hAnsi="Calibri"/>
          <w:rtl/>
        </w:rPr>
        <w:t xml:space="preserve">10.2 جامعات قيست بصمتها: دراسات حالة</w:t>
      </w:r>
    </w:p>
    <w:p>
      <w:pPr>
        <w:keepNext/>
        <w:spacing w:after="40" w:before="180"/>
      </w:pPr>
      <w:r>
        <w:rPr>
          <w:rFonts w:ascii="Calibri" w:cs="Arial" w:eastAsia="Calibri" w:hAnsi="Calibri"/>
          <w:b/>
          <w:bCs/>
          <w:color w:val="14302A"/>
          <w:sz w:val="23"/>
          <w:szCs w:val="23"/>
        </w:rPr>
        <w:t xml:space="preserve">‎[10] Yañez, Sinha and Vásquez (2020)‎</w:t>
      </w:r>
    </w:p>
    <w:p>
      <w:pPr>
        <w:keepNext/>
        <w:spacing w:after="60" w:line="260"/>
      </w:pPr>
      <w:r>
        <w:rPr>
          <w:rFonts w:ascii="Calibri" w:cs="Arial" w:eastAsia="Calibri" w:hAnsi="Calibri"/>
          <w:color w:val="5F6E68"/>
          <w:sz w:val="18"/>
          <w:szCs w:val="18"/>
        </w:rPr>
        <w:t xml:space="preserve">‎Yañez, P., Sinha, A., &amp; Vásquez, M. (2020). Carbon footprint estimation in a university campus: evaluation and insights. Sustainability, 12(1), 181. doi:10.3390/su12010181‎</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جامعة </w:t>
      </w:r>
      <w:r>
        <w:rPr>
          <w:rFonts w:ascii="Calibri" w:cs="Arial" w:eastAsia="Calibri" w:hAnsi="Calibri"/>
        </w:rPr>
        <w:t xml:space="preserve">Talca</w:t>
      </w:r>
      <w:r>
        <w:rPr>
          <w:rFonts w:ascii="Calibri" w:cs="Arial" w:eastAsia="Calibri" w:hAnsi="Calibri"/>
          <w:rtl/>
        </w:rPr>
        <w:t xml:space="preserve"> في تشيلي، التي تقيس بصمتها سنويًا منذ 2012 بالـ </w:t>
      </w:r>
      <w:r>
        <w:rPr>
          <w:rFonts w:ascii="Calibri" w:cs="Arial" w:eastAsia="Calibri" w:hAnsi="Calibri"/>
        </w:rPr>
        <w:t xml:space="preserve">GHG Protocol</w:t>
      </w:r>
      <w:r>
        <w:rPr>
          <w:rFonts w:ascii="Calibri" w:cs="Arial" w:eastAsia="Calibri" w:hAnsi="Calibri"/>
          <w:rtl/>
        </w:rPr>
        <w:t xml:space="preserve"> في خمسة أفرع؛ يشرح كيف تُحدد بصمة الحرم وما العوامل الأكثر تأثيرًا، والنطاقان 1 و2 نحو 40% من إجمالي حرم </w:t>
      </w:r>
      <w:r>
        <w:rPr>
          <w:rFonts w:ascii="Calibri" w:cs="Arial" w:eastAsia="Calibri" w:hAnsi="Calibri"/>
        </w:rPr>
        <w:t xml:space="preserve">Talca.</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مثال واضح خطوة بخطوة للـ </w:t>
      </w:r>
      <w:r>
        <w:rPr>
          <w:rFonts w:ascii="Calibri" w:cs="Arial" w:eastAsia="Calibri" w:hAnsi="Calibri"/>
        </w:rPr>
        <w:t xml:space="preserve">GHG Protocol</w:t>
      </w:r>
      <w:r>
        <w:rPr>
          <w:rFonts w:ascii="Calibri" w:cs="Arial" w:eastAsia="Calibri" w:hAnsi="Calibri"/>
          <w:rtl/>
        </w:rPr>
        <w:t xml:space="preserve"> على حرم جامعي، ونموذج للمتابعة السنوية.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5brn3bbxihy9rzanpucnc">
        <w:r>
          <w:rPr>
            <w:rStyle w:val="Hyperlink"/>
            <w:rFonts w:ascii="Calibri" w:cs="Arial" w:eastAsia="Calibri" w:hAnsi="Calibri"/>
          </w:rPr>
          <w:t xml:space="preserve">https://doi.org/10.3390/su12010181</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‎[11] Clabeaux et al. (2020)‎</w:t>
      </w:r>
    </w:p>
    <w:p>
      <w:pPr>
        <w:keepNext/>
        <w:spacing w:after="60" w:line="260"/>
      </w:pPr>
      <w:r>
        <w:rPr>
          <w:rFonts w:ascii="Calibri" w:cs="Arial" w:eastAsia="Calibri" w:hAnsi="Calibri"/>
          <w:color w:val="5F6E68"/>
          <w:sz w:val="18"/>
          <w:szCs w:val="18"/>
        </w:rPr>
        <w:t xml:space="preserve">‎Clabeaux, R., Carbajales-Dale, M., Ladner, D., &amp; Walker, T. (2020). Assessing the carbon footprint of a university campus using a life cycle assessment approach. Journal of Cleaner Production, 273, 122600. doi:10.1016/j.jclepro.2020.122600‎</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تقييم دورة حياة مبسط لجامعة </w:t>
      </w:r>
      <w:r>
        <w:rPr>
          <w:rFonts w:ascii="Calibri" w:cs="Arial" w:eastAsia="Calibri" w:hAnsi="Calibri"/>
        </w:rPr>
        <w:t xml:space="preserve">Clemson</w:t>
      </w:r>
      <w:r>
        <w:rPr>
          <w:rFonts w:ascii="Calibri" w:cs="Arial" w:eastAsia="Calibri" w:hAnsi="Calibri"/>
          <w:rtl/>
        </w:rPr>
        <w:t xml:space="preserve"> الأمريكية كخط أساس للخفض، يشمل البخار ووسائط التبريد والكهرباء والنقل والصرف والورق؛ نحو 95,400 طن </w:t>
      </w:r>
      <w:r>
        <w:rPr>
          <w:rFonts w:ascii="Calibri" w:cs="Arial" w:eastAsia="Calibri" w:hAnsi="Calibri"/>
        </w:rPr>
        <w:t xml:space="preserve">CO₂e</w:t>
      </w:r>
      <w:r>
        <w:rPr>
          <w:rFonts w:ascii="Calibri" w:cs="Arial" w:eastAsia="Calibri" w:hAnsi="Calibri"/>
          <w:rtl/>
        </w:rPr>
        <w:t xml:space="preserve">، منها تقريبًا 19% نطاق 1 و41% نطاق 2 و40% نطاق 3.</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يعرض القائمة الكاملة لمصادر انبعاث الحرم، ويوضح أن الكهرباء المشتراة قد تساوي النطاق 3 كله.</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ok3qfm5ssthv6jsdebdqv">
        <w:r>
          <w:rPr>
            <w:rStyle w:val="Hyperlink"/>
            <w:rFonts w:ascii="Calibri" w:cs="Arial" w:eastAsia="Calibri" w:hAnsi="Calibri"/>
          </w:rPr>
          <w:t xml:space="preserve">https://cecas.clemson.edu/ladnergroup/blog/wp-content/uploads/2020/07/Clabeaux-et-al-2020-CO2-Footprint-Journal-Cleaner-Production.pdf</w:t>
        </w:r>
      </w:hyperlink>
      <w:r>
        <w:rPr>
          <w:rFonts w:ascii="Calibri" w:cs="Arial" w:eastAsia="Calibri" w:hAnsi="Calibri"/>
          <w:color w:val="5F6E68"/>
          <w:sz w:val="18"/>
          <w:szCs w:val="18"/>
          <w:rtl/>
        </w:rPr>
        <w:t xml:space="preserve"> · نسخة مجانية من المؤلفين (</w:t>
      </w:r>
      <w:r>
        <w:rPr>
          <w:rFonts w:ascii="Calibri" w:cs="Arial" w:eastAsia="Calibri" w:hAnsi="Calibri"/>
          <w:color w:val="5F6E68"/>
          <w:sz w:val="18"/>
          <w:szCs w:val="18"/>
        </w:rPr>
        <w:t xml:space="preserve">Clemson)</w:t>
      </w:r>
    </w:p>
    <w:p>
      <w:pPr>
        <w:keepNext/>
        <w:spacing w:after="40" w:before="180"/>
      </w:pPr>
      <w:r>
        <w:rPr>
          <w:rFonts w:ascii="Calibri" w:cs="Arial" w:eastAsia="Calibri" w:hAnsi="Calibri"/>
          <w:b/>
          <w:bCs/>
          <w:color w:val="14302A"/>
          <w:sz w:val="23"/>
          <w:szCs w:val="23"/>
        </w:rPr>
        <w:t xml:space="preserve">‎[12] Filimonau et al. (2021)‎</w:t>
      </w:r>
    </w:p>
    <w:p>
      <w:pPr>
        <w:keepNext/>
        <w:spacing w:after="60" w:line="260"/>
      </w:pPr>
      <w:r>
        <w:rPr>
          <w:rFonts w:ascii="Calibri" w:cs="Arial" w:eastAsia="Calibri" w:hAnsi="Calibri"/>
          <w:color w:val="5F6E68"/>
          <w:sz w:val="18"/>
          <w:szCs w:val="18"/>
        </w:rPr>
        <w:t xml:space="preserve">‎Filimonau, V., Archer, D., Bellamy, L., Smith, N., &amp; Wintrip, R. (2021). The carbon footprint of a UK University during the COVID-19 lockdown. Science of the Total Environment, 756, 143964. doi:10.1016/j.scitotenv.2020.143964‎</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انخفضت بصمة جامعة </w:t>
      </w:r>
      <w:r>
        <w:rPr>
          <w:rFonts w:ascii="Calibri" w:cs="Arial" w:eastAsia="Calibri" w:hAnsi="Calibri"/>
        </w:rPr>
        <w:t xml:space="preserve">Bournemouth</w:t>
      </w:r>
      <w:r>
        <w:rPr>
          <w:rFonts w:ascii="Calibri" w:cs="Arial" w:eastAsia="Calibri" w:hAnsi="Calibri"/>
          <w:rtl/>
        </w:rPr>
        <w:t xml:space="preserve"> بنحو 30% أثناء الإغلاق (أبريل–يونيو 2020)، لكن كثافة الكربون للتعليم عن بعد كانت تقريبًا مساوية لتنقل الطلاب والعاملين قبل الإغلاق.</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يوضح أن التنقل بند كبير وأن التحول للتعليم عن بعد ليس منخفض الكربون تلقائيًا، ويدعم قياس التواجد والتنقل معًا.</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v_lvbakmlvclxb1pxozsc">
        <w:r>
          <w:rPr>
            <w:rStyle w:val="Hyperlink"/>
            <w:rFonts w:ascii="Calibri" w:cs="Arial" w:eastAsia="Calibri" w:hAnsi="Calibri"/>
          </w:rPr>
          <w:t xml:space="preserve">https://eprints.bournemouth.ac.uk/34947/</w:t>
        </w:r>
      </w:hyperlink>
      <w:r>
        <w:rPr>
          <w:rFonts w:ascii="Calibri" w:cs="Arial" w:eastAsia="Calibri" w:hAnsi="Calibri"/>
          <w:color w:val="5F6E68"/>
          <w:sz w:val="18"/>
          <w:szCs w:val="18"/>
          <w:rtl/>
        </w:rPr>
        <w:t xml:space="preserve"> · نسخة مجانية على مستودع جامعة </w:t>
      </w:r>
      <w:r>
        <w:rPr>
          <w:rFonts w:ascii="Calibri" w:cs="Arial" w:eastAsia="Calibri" w:hAnsi="Calibri"/>
          <w:color w:val="5F6E68"/>
          <w:sz w:val="18"/>
          <w:szCs w:val="18"/>
        </w:rPr>
        <w:t xml:space="preserve">Bournemouth</w:t>
      </w:r>
    </w:p>
    <w:p>
      <w:pPr>
        <w:keepNext/>
        <w:spacing w:after="40" w:before="180"/>
      </w:pPr>
      <w:r>
        <w:rPr>
          <w:rFonts w:ascii="Calibri" w:cs="Arial" w:eastAsia="Calibri" w:hAnsi="Calibri"/>
          <w:b/>
          <w:bCs/>
          <w:color w:val="14302A"/>
          <w:sz w:val="23"/>
          <w:szCs w:val="23"/>
        </w:rPr>
        <w:t xml:space="preserve">‎[13] Mustafa et al. (2022)‎</w:t>
      </w:r>
    </w:p>
    <w:p>
      <w:pPr>
        <w:keepNext/>
        <w:spacing w:after="60" w:line="260"/>
      </w:pPr>
      <w:r>
        <w:rPr>
          <w:rFonts w:ascii="Calibri" w:cs="Arial" w:eastAsia="Calibri" w:hAnsi="Calibri"/>
          <w:color w:val="5F6E68"/>
          <w:sz w:val="18"/>
          <w:szCs w:val="18"/>
        </w:rPr>
        <w:t xml:space="preserve">‎Mustafa, A., Kazmi, M., Khan, H. R., Qazi, S. A., &amp; Lodi, S. H. (2022). Towards a carbon neutral and sustainable campus: case study of NED University of Engineering and Technology. Sustainability, 14(2), 794. doi:10.3390/su14020794‎</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جامعة </w:t>
      </w:r>
      <w:r>
        <w:rPr>
          <w:rFonts w:ascii="Calibri" w:cs="Arial" w:eastAsia="Calibri" w:hAnsi="Calibri"/>
        </w:rPr>
        <w:t xml:space="preserve">NED</w:t>
      </w:r>
      <w:r>
        <w:rPr>
          <w:rFonts w:ascii="Calibri" w:cs="Arial" w:eastAsia="Calibri" w:hAnsi="Calibri"/>
          <w:rtl/>
        </w:rPr>
        <w:t xml:space="preserve"> في كراتشي بباكستان (2017): نحو 21,500 طن </w:t>
      </w:r>
      <w:r>
        <w:rPr>
          <w:rFonts w:ascii="Calibri" w:cs="Arial" w:eastAsia="Calibri" w:hAnsi="Calibri"/>
        </w:rPr>
        <w:t xml:space="preserve">CO₂e</w:t>
      </w:r>
      <w:r>
        <w:rPr>
          <w:rFonts w:ascii="Calibri" w:cs="Arial" w:eastAsia="Calibri" w:hAnsi="Calibri"/>
          <w:rtl/>
        </w:rPr>
        <w:t xml:space="preserve"> أي 1.79 طن لكل طالب؛ النطاقان 1 و2 نحو 7% لكل منهما والنطاق 3 نحو 85.6%؛ ويوصي بالطاقة المتجددة والأجهزة الموفرة والسيارات الكهربائية والتشجير.</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حرم في دولة نامية قريب من الجامعات المصرية، يهيمن فيه النطاق 3 المرتبط بالتنقل.</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6myub7fuzf4iu4ettwzes">
        <w:r>
          <w:rPr>
            <w:rStyle w:val="Hyperlink"/>
            <w:rFonts w:ascii="Calibri" w:cs="Arial" w:eastAsia="Calibri" w:hAnsi="Calibri"/>
          </w:rPr>
          <w:t xml:space="preserve">https://doi.org/10.3390/su14020794</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‎[14] Cano et al. (2022)‎</w:t>
      </w:r>
    </w:p>
    <w:p>
      <w:pPr>
        <w:keepNext/>
        <w:spacing w:after="60" w:line="260"/>
      </w:pPr>
      <w:r>
        <w:rPr>
          <w:rFonts w:ascii="Calibri" w:cs="Arial" w:eastAsia="Calibri" w:hAnsi="Calibri"/>
          <w:color w:val="5F6E68"/>
          <w:sz w:val="18"/>
          <w:szCs w:val="18"/>
        </w:rPr>
        <w:t xml:space="preserve">‎Cano, N., Berrio, L., Carvajal, E., &amp; Arango, S. (2022). Assessing the carbon footprint of a Colombian university campus using the UNE-ISO 14064–1 and WRI/WBCSD GHG Protocol Corporate Standard. Environmental Science and Pollution Research. doi:10.1007/s11356-022-22119-4‎</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الجامعة الوطنية الكولومبية في </w:t>
      </w:r>
      <w:r>
        <w:rPr>
          <w:rFonts w:ascii="Calibri" w:cs="Arial" w:eastAsia="Calibri" w:hAnsi="Calibri"/>
        </w:rPr>
        <w:t xml:space="preserve">Medell</w:t>
      </w:r>
      <w:r>
        <w:rPr>
          <w:rFonts w:ascii="Calibri" w:cs="Arial" w:eastAsia="Calibri" w:hAnsi="Calibri"/>
          <w:rtl/>
        </w:rPr>
        <w:t xml:space="preserve">í</w:t>
      </w:r>
      <w:r>
        <w:rPr>
          <w:rFonts w:ascii="Calibri" w:cs="Arial" w:eastAsia="Calibri" w:hAnsi="Calibri"/>
        </w:rPr>
        <w:t xml:space="preserve">n</w:t>
      </w:r>
      <w:r>
        <w:rPr>
          <w:rFonts w:ascii="Calibri" w:cs="Arial" w:eastAsia="Calibri" w:hAnsi="Calibri"/>
          <w:rtl/>
        </w:rPr>
        <w:t xml:space="preserve"> (2019) بمعياري </w:t>
      </w:r>
      <w:r>
        <w:rPr>
          <w:rFonts w:ascii="Calibri" w:cs="Arial" w:eastAsia="Calibri" w:hAnsi="Calibri"/>
        </w:rPr>
        <w:t xml:space="preserve">UNE-ISO 14064-1</w:t>
      </w:r>
      <w:r>
        <w:rPr>
          <w:rFonts w:ascii="Calibri" w:cs="Arial" w:eastAsia="Calibri" w:hAnsi="Calibri"/>
          <w:rtl/>
        </w:rPr>
        <w:t xml:space="preserve"> والـ </w:t>
      </w:r>
      <w:r>
        <w:rPr>
          <w:rFonts w:ascii="Calibri" w:cs="Arial" w:eastAsia="Calibri" w:hAnsi="Calibri"/>
        </w:rPr>
        <w:t xml:space="preserve">GHG Protocol:</w:t>
      </w:r>
      <w:r>
        <w:rPr>
          <w:rFonts w:ascii="Calibri" w:cs="Arial" w:eastAsia="Calibri" w:hAnsi="Calibri"/>
          <w:rtl/>
        </w:rPr>
        <w:t xml:space="preserve"> نحو 7,251 طن </w:t>
      </w:r>
      <w:r>
        <w:rPr>
          <w:rFonts w:ascii="Calibri" w:cs="Arial" w:eastAsia="Calibri" w:hAnsi="Calibri"/>
        </w:rPr>
        <w:t xml:space="preserve">CO₂e</w:t>
      </w:r>
      <w:r>
        <w:rPr>
          <w:rFonts w:ascii="Calibri" w:cs="Arial" w:eastAsia="Calibri" w:hAnsi="Calibri"/>
          <w:rtl/>
        </w:rPr>
        <w:t xml:space="preserve"> أي 0.43 طن للفرد؛ النطاق 3 نحو 83% والنقل وحده 58.5%.</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أوضح مثال لتطبيق </w:t>
      </w:r>
      <w:r>
        <w:rPr>
          <w:rFonts w:ascii="Calibri" w:cs="Arial" w:eastAsia="Calibri" w:hAnsi="Calibri"/>
        </w:rPr>
        <w:t xml:space="preserve">ISO 14064-1</w:t>
      </w:r>
      <w:r>
        <w:rPr>
          <w:rFonts w:ascii="Calibri" w:cs="Arial" w:eastAsia="Calibri" w:hAnsi="Calibri"/>
          <w:rtl/>
        </w:rPr>
        <w:t xml:space="preserve"> والـ </w:t>
      </w:r>
      <w:r>
        <w:rPr>
          <w:rFonts w:ascii="Calibri" w:cs="Arial" w:eastAsia="Calibri" w:hAnsi="Calibri"/>
        </w:rPr>
        <w:t xml:space="preserve">GHG Protocol</w:t>
      </w:r>
      <w:r>
        <w:rPr>
          <w:rFonts w:ascii="Calibri" w:cs="Arial" w:eastAsia="Calibri" w:hAnsi="Calibri"/>
          <w:rtl/>
        </w:rPr>
        <w:t xml:space="preserve"> على حرم جامعي، والنقل أكبر بند كما نتوقع في مصر.</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cwb5nnlx3dyztrdmxexwt">
        <w:r>
          <w:rPr>
            <w:rStyle w:val="Hyperlink"/>
            <w:rFonts w:ascii="Calibri" w:cs="Arial" w:eastAsia="Calibri" w:hAnsi="Calibri"/>
          </w:rPr>
          <w:t xml:space="preserve">https://www.ncbi.nlm.nih.gov/pmc/articles/PMC9374572/</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PubMed Central)</w:t>
      </w:r>
    </w:p>
    <w:p>
      <w:pPr>
        <w:keepNext/>
        <w:spacing w:after="40" w:before="180"/>
      </w:pPr>
      <w:r>
        <w:rPr>
          <w:rFonts w:ascii="Calibri" w:cs="Arial" w:eastAsia="Calibri" w:hAnsi="Calibri"/>
          <w:b/>
          <w:bCs/>
          <w:color w:val="14302A"/>
          <w:sz w:val="23"/>
          <w:szCs w:val="23"/>
        </w:rPr>
        <w:t xml:space="preserve">‎[15] Osorio et al. (2022)‎</w:t>
      </w:r>
    </w:p>
    <w:p>
      <w:pPr>
        <w:keepNext/>
        <w:spacing w:after="60" w:line="260"/>
      </w:pPr>
      <w:r>
        <w:rPr>
          <w:rFonts w:ascii="Calibri" w:cs="Arial" w:eastAsia="Calibri" w:hAnsi="Calibri"/>
          <w:color w:val="5F6E68"/>
          <w:sz w:val="18"/>
          <w:szCs w:val="18"/>
        </w:rPr>
        <w:t xml:space="preserve">‎Osorio, A. M., Úsuga, L. F., Vásquez, R. E., Nieto-Londoño, C., Rinaudo, M. E., Martínez, J. A., &amp; Leal Filho, W. (2022). Towards carbon neutrality in higher education institutions: case of two private universities in Colombia. Sustainability, 14(3), 1774. doi:10.3390/su14031774‎</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كيف حصلت جامعتان كولومبيتان على شهادة الحياد الكربوني (الأولى في أمريكا اللاتينية عام 2017): جرد انبعاثات وفق </w:t>
      </w:r>
      <w:r>
        <w:rPr>
          <w:rFonts w:ascii="Calibri" w:cs="Arial" w:eastAsia="Calibri" w:hAnsi="Calibri"/>
        </w:rPr>
        <w:t xml:space="preserve">ISO 14064</w:t>
      </w:r>
      <w:r>
        <w:rPr>
          <w:rFonts w:ascii="Calibri" w:cs="Arial" w:eastAsia="Calibri" w:hAnsi="Calibri"/>
          <w:rtl/>
        </w:rPr>
        <w:t xml:space="preserve"> على ثلاث مراحل، التحديد والقياس، ثم التحليل والخفض، ثم التحقق والتعويض.</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يوضح المسار الكامل من القياس إلى الخفض إلى الحياد المُتحقق منه، وهو الهدف البعيد الذي يخدمه قياسنا.</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5bhhufksnqn1ectu97dsm">
        <w:r>
          <w:rPr>
            <w:rStyle w:val="Hyperlink"/>
            <w:rFonts w:ascii="Calibri" w:cs="Arial" w:eastAsia="Calibri" w:hAnsi="Calibri"/>
          </w:rPr>
          <w:t xml:space="preserve">https://doi.org/10.3390/su14031774</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‎[16] Battistini et al. (2023)‎</w:t>
      </w:r>
    </w:p>
    <w:p>
      <w:pPr>
        <w:keepNext/>
        <w:spacing w:after="60" w:line="260"/>
      </w:pPr>
      <w:r>
        <w:rPr>
          <w:rFonts w:ascii="Calibri" w:cs="Arial" w:eastAsia="Calibri" w:hAnsi="Calibri"/>
          <w:color w:val="5F6E68"/>
          <w:sz w:val="18"/>
          <w:szCs w:val="18"/>
        </w:rPr>
        <w:t xml:space="preserve">‎Battistini, R., Passarini, F., Marrollo, R., Lantieri, C., Simone, A., &amp; Vignali, V. (2023). How to assess the carbon footprint of a large university? The case study of University of Bologna’s multicampus organization. Energies, 16(1), 166. doi:10.3390/en16010166‎</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جامعة </w:t>
      </w:r>
      <w:r>
        <w:rPr>
          <w:rFonts w:ascii="Calibri" w:cs="Arial" w:eastAsia="Calibri" w:hAnsi="Calibri"/>
        </w:rPr>
        <w:t xml:space="preserve">Bologna</w:t>
      </w:r>
      <w:r>
        <w:rPr>
          <w:rFonts w:ascii="Calibri" w:cs="Arial" w:eastAsia="Calibri" w:hAnsi="Calibri"/>
          <w:rtl/>
        </w:rPr>
        <w:t xml:space="preserve"> بمعايير </w:t>
      </w:r>
      <w:r>
        <w:rPr>
          <w:rFonts w:ascii="Calibri" w:cs="Arial" w:eastAsia="Calibri" w:hAnsi="Calibri"/>
        </w:rPr>
        <w:t xml:space="preserve">GHG Protocol</w:t>
      </w:r>
      <w:r>
        <w:rPr>
          <w:rFonts w:ascii="Calibri" w:cs="Arial" w:eastAsia="Calibri" w:hAnsi="Calibri"/>
          <w:rtl/>
        </w:rPr>
        <w:t xml:space="preserve"> و</w:t>
      </w:r>
      <w:r>
        <w:rPr>
          <w:rFonts w:ascii="Calibri" w:cs="Arial" w:eastAsia="Calibri" w:hAnsi="Calibri"/>
        </w:rPr>
        <w:t xml:space="preserve">ISO 14064</w:t>
      </w:r>
      <w:r>
        <w:rPr>
          <w:rFonts w:ascii="Calibri" w:cs="Arial" w:eastAsia="Calibri" w:hAnsi="Calibri"/>
          <w:rtl/>
        </w:rPr>
        <w:t xml:space="preserve"> و</w:t>
      </w:r>
      <w:r>
        <w:rPr>
          <w:rFonts w:ascii="Calibri" w:cs="Arial" w:eastAsia="Calibri" w:hAnsi="Calibri"/>
        </w:rPr>
        <w:t xml:space="preserve">ISO/TR 14069:</w:t>
      </w:r>
      <w:r>
        <w:rPr>
          <w:rFonts w:ascii="Calibri" w:cs="Arial" w:eastAsia="Calibri" w:hAnsi="Calibri"/>
          <w:rtl/>
        </w:rPr>
        <w:t xml:space="preserve"> نحو 16,467 طن </w:t>
      </w:r>
      <w:r>
        <w:rPr>
          <w:rFonts w:ascii="Calibri" w:cs="Arial" w:eastAsia="Calibri" w:hAnsi="Calibri"/>
        </w:rPr>
        <w:t xml:space="preserve">CO₂e</w:t>
      </w:r>
      <w:r>
        <w:rPr>
          <w:rFonts w:ascii="Calibri" w:cs="Arial" w:eastAsia="Calibri" w:hAnsi="Calibri"/>
          <w:rtl/>
        </w:rPr>
        <w:t xml:space="preserve"> في 2020 (15,753 بعد الطاقة المتجددة الداخلية) مقابل 55,388 طن في 2018؛ النقل كان 74% في 2018 بينما المشتريات التقنية نحو النصف في 2020.</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يوضح كم يتغير توزيع البصمة عندما يبقى الناس في منازلهم، فالقياس اليومي للتواجد والتنقل مهم.</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gm6q5qaqrh6hsrk7ai0ft">
        <w:r>
          <w:rPr>
            <w:rStyle w:val="Hyperlink"/>
            <w:rFonts w:ascii="Calibri" w:cs="Arial" w:eastAsia="Calibri" w:hAnsi="Calibri"/>
          </w:rPr>
          <w:t xml:space="preserve">https://doi.org/10.3390/en16010166</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‎[17] Ahonen et al. (2024)‎</w:t>
      </w:r>
    </w:p>
    <w:p>
      <w:pPr>
        <w:keepNext/>
        <w:spacing w:after="60" w:line="260"/>
      </w:pPr>
      <w:r>
        <w:rPr>
          <w:rFonts w:ascii="Calibri" w:cs="Arial" w:eastAsia="Calibri" w:hAnsi="Calibri"/>
          <w:color w:val="5F6E68"/>
          <w:sz w:val="18"/>
          <w:szCs w:val="18"/>
        </w:rPr>
        <w:t xml:space="preserve">‎Ahonen, V. L., Woszczek, A., Baumeister, S., Helimo, U. T., Jackson, A. K., Kopsakangas-Savolainen, M., Kääriä, J., Lehtonen, T., Luoranen, M., Pongrácz, E., Soukka, R., Vainio, V., &amp; El Geneidy, S. (2024). Carbon neutral higher education institutions: a reality check, challenges and solutions. International Journal of Sustainability in Higher Education, 25(9), 293–315. doi:10.1108/IJSHE-11-2023-0515‎</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استبيان لخبراء الاستدامة في كل مؤسسات التعليم العالي الفنلندية (38 مؤسسة) مع تحليل </w:t>
      </w:r>
      <w:r>
        <w:rPr>
          <w:rFonts w:ascii="Calibri" w:cs="Arial" w:eastAsia="Calibri" w:hAnsi="Calibri"/>
        </w:rPr>
        <w:t xml:space="preserve">SWOT:</w:t>
      </w:r>
      <w:r>
        <w:rPr>
          <w:rFonts w:ascii="Calibri" w:cs="Arial" w:eastAsia="Calibri" w:hAnsi="Calibri"/>
          <w:rtl/>
        </w:rPr>
        <w:t xml:space="preserve"> أغلبها يتابع بصمته، لكن قلة فقط وضعت أهداف خفض منفصلة وخطط تعويض واضحة، والمؤسسات الصغيرة تعاني نقص الموارد.</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القياس وحده لا يكفي؛ ولوحة المنشأة عندنا تربط القياس بالأهداف (خط أساس الدور) وبالإجراءات (تنبيهات الهدر).</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jthmcaraiow1twpxyatuh">
        <w:r>
          <w:rPr>
            <w:rStyle w:val="Hyperlink"/>
            <w:rFonts w:ascii="Calibri" w:cs="Arial" w:eastAsia="Calibri" w:hAnsi="Calibri"/>
          </w:rPr>
          <w:t xml:space="preserve">https://doi.org/10.1108/IJSHE-11-2023-0515</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CC BY)</w:t>
      </w:r>
    </w:p>
    <w:p>
      <w:pPr>
        <w:keepNext/>
        <w:spacing w:after="40" w:before="180"/>
      </w:pPr>
      <w:r>
        <w:rPr>
          <w:rFonts w:ascii="Calibri" w:cs="Arial" w:eastAsia="Calibri" w:hAnsi="Calibri"/>
          <w:b/>
          <w:bCs/>
          <w:color w:val="14302A"/>
          <w:sz w:val="23"/>
          <w:szCs w:val="23"/>
        </w:rPr>
        <w:t xml:space="preserve">‎[18] Rus et al. (2025)‎</w:t>
      </w:r>
    </w:p>
    <w:p>
      <w:pPr>
        <w:keepNext/>
        <w:spacing w:after="60" w:line="260"/>
      </w:pPr>
      <w:r>
        <w:rPr>
          <w:rFonts w:ascii="Calibri" w:cs="Arial" w:eastAsia="Calibri" w:hAnsi="Calibri"/>
          <w:color w:val="5F6E68"/>
          <w:sz w:val="18"/>
          <w:szCs w:val="18"/>
        </w:rPr>
        <w:t xml:space="preserve">‎Rus, T., Moldovan, R.-P., Beu, D., Pop, M., &amp; Ceclan, A. (2025). Towards a climate-neutral campus: carbon footprint assessment in higher education institutions. Applied Sciences, 15(7), 3695. doi:10.3390/app15073695‎</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الجامعة التقنية في </w:t>
      </w:r>
      <w:r>
        <w:rPr>
          <w:rFonts w:ascii="Calibri" w:cs="Arial" w:eastAsia="Calibri" w:hAnsi="Calibri"/>
        </w:rPr>
        <w:t xml:space="preserve">Cluj-Napoca</w:t>
      </w:r>
      <w:r>
        <w:rPr>
          <w:rFonts w:ascii="Calibri" w:cs="Arial" w:eastAsia="Calibri" w:hAnsi="Calibri"/>
          <w:rtl/>
        </w:rPr>
        <w:t xml:space="preserve"> برومانيا، النطاقات الثلاثة في 2022–2023 بالـ </w:t>
      </w:r>
      <w:r>
        <w:rPr>
          <w:rFonts w:ascii="Calibri" w:cs="Arial" w:eastAsia="Calibri" w:hAnsi="Calibri"/>
        </w:rPr>
        <w:t xml:space="preserve">GHG Protocol</w:t>
      </w:r>
      <w:r>
        <w:rPr>
          <w:rFonts w:ascii="Calibri" w:cs="Arial" w:eastAsia="Calibri" w:hAnsi="Calibri"/>
          <w:rtl/>
        </w:rPr>
        <w:t xml:space="preserve"> وبرنامج </w:t>
      </w:r>
      <w:r>
        <w:rPr>
          <w:rFonts w:ascii="Calibri" w:cs="Arial" w:eastAsia="Calibri" w:hAnsi="Calibri"/>
        </w:rPr>
        <w:t xml:space="preserve">One Click LCA: 7,445</w:t>
      </w:r>
      <w:r>
        <w:rPr>
          <w:rFonts w:ascii="Calibri" w:cs="Arial" w:eastAsia="Calibri" w:hAnsi="Calibri"/>
          <w:rtl/>
        </w:rPr>
        <w:t xml:space="preserve"> ثم 7,229 طن </w:t>
      </w:r>
      <w:r>
        <w:rPr>
          <w:rFonts w:ascii="Calibri" w:cs="Arial" w:eastAsia="Calibri" w:hAnsi="Calibri"/>
        </w:rPr>
        <w:t xml:space="preserve">CO₂e</w:t>
      </w:r>
      <w:r>
        <w:rPr>
          <w:rFonts w:ascii="Calibri" w:cs="Arial" w:eastAsia="Calibri" w:hAnsi="Calibri"/>
          <w:rtl/>
        </w:rPr>
        <w:t xml:space="preserve">، و0.378 ثم 0.362 طن للفرد؛ والغاز الطبيعي للتدفئة أكبر مصدر.</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جرد حديث لسنتين بمؤشرات لكل فرد ولكل متر مربع، وهو نفس نوع مؤشر الكثافة الذي نحسبه للدور.</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5w03p3tocvy35jeyj2l4w">
        <w:r>
          <w:rPr>
            <w:rStyle w:val="Hyperlink"/>
            <w:rFonts w:ascii="Calibri" w:cs="Arial" w:eastAsia="Calibri" w:hAnsi="Calibri"/>
          </w:rPr>
          <w:t xml:space="preserve">https://doi.org/10.3390/app15073695</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‎[19] Yang et al. (2025)‎</w:t>
      </w:r>
    </w:p>
    <w:p>
      <w:pPr>
        <w:keepNext/>
        <w:spacing w:after="60" w:line="260"/>
      </w:pPr>
      <w:r>
        <w:rPr>
          <w:rFonts w:ascii="Calibri" w:cs="Arial" w:eastAsia="Calibri" w:hAnsi="Calibri"/>
          <w:color w:val="5F6E68"/>
          <w:sz w:val="18"/>
          <w:szCs w:val="18"/>
        </w:rPr>
        <w:t xml:space="preserve">‎Yang, C., Yao, T., Dong, S., &amp; Jiang, W. (2025). Carbon emissions accounting and uncertainty analysis in campus settings: a case study of a university in Sichuan, China. PLOS ONE. doi:10.1371/journal.pone.0321216‎</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كلية </w:t>
      </w:r>
      <w:r>
        <w:rPr>
          <w:rFonts w:ascii="Calibri" w:cs="Arial" w:eastAsia="Calibri" w:hAnsi="Calibri"/>
        </w:rPr>
        <w:t xml:space="preserve">Jinjiang</w:t>
      </w:r>
      <w:r>
        <w:rPr>
          <w:rFonts w:ascii="Calibri" w:cs="Arial" w:eastAsia="Calibri" w:hAnsi="Calibri"/>
          <w:rtl/>
        </w:rPr>
        <w:t xml:space="preserve"> بجامعة </w:t>
      </w:r>
      <w:r>
        <w:rPr>
          <w:rFonts w:ascii="Calibri" w:cs="Arial" w:eastAsia="Calibri" w:hAnsi="Calibri"/>
        </w:rPr>
        <w:t xml:space="preserve">Sichuan</w:t>
      </w:r>
      <w:r>
        <w:rPr>
          <w:rFonts w:ascii="Calibri" w:cs="Arial" w:eastAsia="Calibri" w:hAnsi="Calibri"/>
          <w:rtl/>
        </w:rPr>
        <w:t xml:space="preserve"> في الصين (2023) بطريقة معاملات الانبعاث مع تحليل عدم اليقين بطريقة </w:t>
      </w:r>
      <w:r>
        <w:rPr>
          <w:rFonts w:ascii="Calibri" w:cs="Arial" w:eastAsia="Calibri" w:hAnsi="Calibri"/>
        </w:rPr>
        <w:t xml:space="preserve">Monte Carlo:</w:t>
      </w:r>
      <w:r>
        <w:rPr>
          <w:rFonts w:ascii="Calibri" w:cs="Arial" w:eastAsia="Calibri" w:hAnsi="Calibri"/>
          <w:rtl/>
        </w:rPr>
        <w:t xml:space="preserve"> صافي 44,584 طن </w:t>
      </w:r>
      <w:r>
        <w:rPr>
          <w:rFonts w:ascii="Calibri" w:cs="Arial" w:eastAsia="Calibri" w:hAnsi="Calibri"/>
        </w:rPr>
        <w:t xml:space="preserve">CO₂e</w:t>
      </w:r>
      <w:r>
        <w:rPr>
          <w:rFonts w:ascii="Calibri" w:cs="Arial" w:eastAsia="Calibri" w:hAnsi="Calibri"/>
          <w:rtl/>
        </w:rPr>
        <w:t xml:space="preserve"> أي 1.89 طن للفرد؛ والكهرباء أكبر مصدر، والتنقل والسفر هما الأعلى في عدم اليقين.</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يوضح أن التنقل هو الجزء الأقل يقينًا في جرد الحرم، وقياس الرحلات تلقائيًا كما يفعل تطبيقنا يعالج ذلك مباشرة.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ws7gvmn0rs7lsrvhzwmsn">
        <w:r>
          <w:rPr>
            <w:rStyle w:val="Hyperlink"/>
            <w:rFonts w:ascii="Calibri" w:cs="Arial" w:eastAsia="Calibri" w:hAnsi="Calibri"/>
          </w:rPr>
          <w:t xml:space="preserve">https://doi.org/10.1371/journal.pone.0321216</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pStyle w:val="Heading2"/>
        <w:bidi/>
      </w:pPr>
      <w:r>
        <w:rPr>
          <w:rFonts w:ascii="Calibri" w:cs="Arial" w:eastAsia="Calibri" w:hAnsi="Calibri"/>
          <w:rtl/>
        </w:rPr>
        <w:t xml:space="preserve">10.3 المدارس</w:t>
      </w:r>
    </w:p>
    <w:p>
      <w:pPr>
        <w:keepNext/>
        <w:spacing w:after="40" w:before="180"/>
      </w:pPr>
      <w:r>
        <w:rPr>
          <w:rFonts w:ascii="Calibri" w:cs="Arial" w:eastAsia="Calibri" w:hAnsi="Calibri"/>
          <w:b/>
          <w:bCs/>
          <w:color w:val="14302A"/>
          <w:sz w:val="23"/>
          <w:szCs w:val="23"/>
        </w:rPr>
        <w:t xml:space="preserve">‎[20] Wagner et al. (2021)‎</w:t>
      </w:r>
    </w:p>
    <w:p>
      <w:pPr>
        <w:keepNext/>
        <w:spacing w:after="60" w:line="260"/>
      </w:pPr>
      <w:r>
        <w:rPr>
          <w:rFonts w:ascii="Calibri" w:cs="Arial" w:eastAsia="Calibri" w:hAnsi="Calibri"/>
          <w:color w:val="5F6E68"/>
          <w:sz w:val="18"/>
          <w:szCs w:val="18"/>
        </w:rPr>
        <w:t xml:space="preserve">‎Wagner, O., Tholen, L., Nawothnig, L., &amp; Albert-Seifried, S. (2021). Making school-based GHG-emissions tangible by student-led carbon footprint assessment program. Energies, 14(24), 8558. doi:10.3390/en14248558‎</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مشروع </w:t>
      </w:r>
      <w:r>
        <w:rPr>
          <w:rFonts w:ascii="Calibri" w:cs="Arial" w:eastAsia="Calibri" w:hAnsi="Calibri"/>
        </w:rPr>
        <w:t xml:space="preserve">Schools4Future</w:t>
      </w:r>
      <w:r>
        <w:rPr>
          <w:rFonts w:ascii="Calibri" w:cs="Arial" w:eastAsia="Calibri" w:hAnsi="Calibri"/>
          <w:rtl/>
        </w:rPr>
        <w:t xml:space="preserve"> في ألمانيا: أداة يستخدمها الطلاب لحساب بصمة مدرستهم من التنقل والتدفئة والكهرباء وطعام المقصف والورق، وجُربت في مدارس نموذجية؛ وكان التنقل نحو 60–70 طن </w:t>
      </w:r>
      <w:r>
        <w:rPr>
          <w:rFonts w:ascii="Calibri" w:cs="Arial" w:eastAsia="Calibri" w:hAnsi="Calibri"/>
        </w:rPr>
        <w:t xml:space="preserve">CO₂</w:t>
      </w:r>
      <w:r>
        <w:rPr>
          <w:rFonts w:ascii="Calibri" w:cs="Arial" w:eastAsia="Calibri" w:hAnsi="Calibri"/>
          <w:rtl/>
        </w:rPr>
        <w:t xml:space="preserve"> لكل مدرسة، والمقصف أصغر نصيب.</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نموذج للمدارس ولإشراك الطلاب في القياس، مثل وضع المتطوعين عندنا.</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uqmpo1snuhqjbyyy-23o">
        <w:r>
          <w:rPr>
            <w:rStyle w:val="Hyperlink"/>
            <w:rFonts w:ascii="Calibri" w:cs="Arial" w:eastAsia="Calibri" w:hAnsi="Calibri"/>
          </w:rPr>
          <w:t xml:space="preserve">https://doi.org/10.3390/en14248558</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‎[21] Adhikari and Pokhrel (2025)‎</w:t>
      </w:r>
    </w:p>
    <w:p>
      <w:pPr>
        <w:keepNext/>
        <w:spacing w:after="60" w:line="260"/>
      </w:pPr>
      <w:r>
        <w:rPr>
          <w:rFonts w:ascii="Calibri" w:cs="Arial" w:eastAsia="Calibri" w:hAnsi="Calibri"/>
          <w:color w:val="5F6E68"/>
          <w:sz w:val="18"/>
          <w:szCs w:val="18"/>
        </w:rPr>
        <w:t xml:space="preserve">‎Adhikari and Pokhrel (2025). Study on the carbon footprint of schools in Pokhara, Nepal. Himalayan Journal of Applied Science and Engineering, 5(2), 173–183. doi:10.3126/hijase.v5i2.74787‎</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ثماني مدارس حكومية وخاصة (أكثر من 1,000 طالب في كل منها) قيست بالـ </w:t>
      </w:r>
      <w:r>
        <w:rPr>
          <w:rFonts w:ascii="Calibri" w:cs="Arial" w:eastAsia="Calibri" w:hAnsi="Calibri"/>
        </w:rPr>
        <w:t xml:space="preserve">GHG Protocol</w:t>
      </w:r>
      <w:r>
        <w:rPr>
          <w:rFonts w:ascii="Calibri" w:cs="Arial" w:eastAsia="Calibri" w:hAnsi="Calibri"/>
          <w:rtl/>
        </w:rPr>
        <w:t xml:space="preserve"> من استبيانات ومقابلات وسجلات: 409.8 طن </w:t>
      </w:r>
      <w:r>
        <w:rPr>
          <w:rFonts w:ascii="Calibri" w:cs="Arial" w:eastAsia="Calibri" w:hAnsi="Calibri"/>
        </w:rPr>
        <w:t xml:space="preserve">CO₂e</w:t>
      </w:r>
      <w:r>
        <w:rPr>
          <w:rFonts w:ascii="Calibri" w:cs="Arial" w:eastAsia="Calibri" w:hAnsi="Calibri"/>
          <w:rtl/>
        </w:rPr>
        <w:t xml:space="preserve"> سنويًا إجمالًا و0.029 طن للفرد؛ والنطاق 1 (أتوبيسات المدارس والوقود) الأكبر ثم النطاق 3.</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يوضح كيف تُقاس المدارس ببيانات بسيطة في دولة نامية، وأن نقل الطلاب هو البند المهيمن.</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030jzxqaknvqp_tjxk7yy">
        <w:r>
          <w:rPr>
            <w:rStyle w:val="Hyperlink"/>
            <w:rFonts w:ascii="Calibri" w:cs="Arial" w:eastAsia="Calibri" w:hAnsi="Calibri"/>
          </w:rPr>
          <w:t xml:space="preserve">https://www.nepjol.info/index.php/hijase/article/view/74787</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NepJOL)</w:t>
      </w:r>
    </w:p>
    <w:p>
      <w:pPr>
        <w:pStyle w:val="Heading2"/>
        <w:bidi/>
      </w:pPr>
      <w:r>
        <w:rPr>
          <w:rFonts w:ascii="Calibri" w:cs="Arial" w:eastAsia="Calibri" w:hAnsi="Calibri"/>
          <w:rtl/>
        </w:rPr>
        <w:t xml:space="preserve">10.4 مصر والمباني الحكومية والقياس المستمر</w:t>
      </w:r>
    </w:p>
    <w:p>
      <w:pPr>
        <w:keepNext/>
        <w:spacing w:after="40" w:before="180"/>
      </w:pPr>
      <w:r>
        <w:rPr>
          <w:rFonts w:ascii="Calibri" w:cs="Arial" w:eastAsia="Calibri" w:hAnsi="Calibri"/>
          <w:b/>
          <w:bCs/>
          <w:color w:val="14302A"/>
          <w:sz w:val="23"/>
          <w:szCs w:val="23"/>
        </w:rPr>
        <w:t xml:space="preserve">‎[22] Badr, El Beheary and Hassan (2026)‎</w:t>
      </w:r>
    </w:p>
    <w:p>
      <w:pPr>
        <w:keepNext/>
        <w:spacing w:after="60" w:line="260"/>
      </w:pPr>
      <w:r>
        <w:rPr>
          <w:rFonts w:ascii="Calibri" w:cs="Arial" w:eastAsia="Calibri" w:hAnsi="Calibri"/>
          <w:color w:val="5F6E68"/>
          <w:sz w:val="18"/>
          <w:szCs w:val="18"/>
        </w:rPr>
        <w:t xml:space="preserve">‎Badr, M. K., El Beheary, M., &amp; Hassan, I. A. (2026). The importance of calculating the carbon footprint of Egyptian universities and their role in sustainable development: Port Said University as case study. Annals of the Academy of Romanian Scientists, Series on Biological Sciences. doi:10.56082/annalsarscibio.2026.1.191‎</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جامعة بورسعيد: جرد تجريبي لحرم كلية العلوم منذ 2023 بالـ </w:t>
      </w:r>
      <w:r>
        <w:rPr>
          <w:rFonts w:ascii="Calibri" w:cs="Arial" w:eastAsia="Calibri" w:hAnsi="Calibri"/>
        </w:rPr>
        <w:t xml:space="preserve">GHG Protocol</w:t>
      </w:r>
      <w:r>
        <w:rPr>
          <w:rFonts w:ascii="Calibri" w:cs="Arial" w:eastAsia="Calibri" w:hAnsi="Calibri"/>
          <w:rtl/>
        </w:rPr>
        <w:t xml:space="preserve">؛ النطاق 3 (التنقل أساسًا) نحو 97% من الانبعاثات في 2023 و2024، وانخفض النطاقان 1 و2 في 2024 بعد إجراءات إدارة الموارد والنقل النظيف.</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أقرب دراسة لمشروعنا: جامعة حكومية مصرية، قيست على مستوى كلية، والتنقل هو المصدر المهيمن.</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xet00pmnzm23kastystmj">
        <w:r>
          <w:rPr>
            <w:rStyle w:val="Hyperlink"/>
            <w:rFonts w:ascii="Calibri" w:cs="Arial" w:eastAsia="Calibri" w:hAnsi="Calibri"/>
          </w:rPr>
          <w:t xml:space="preserve">https://doi.org/10.56082/annalsarscibio.2026.1.191</w:t>
        </w:r>
      </w:hyperlink>
      <w:r>
        <w:rPr>
          <w:rFonts w:ascii="Calibri" w:cs="Arial" w:eastAsia="Calibri" w:hAnsi="Calibri"/>
          <w:color w:val="5F6E68"/>
          <w:sz w:val="18"/>
          <w:szCs w:val="18"/>
          <w:rtl/>
        </w:rPr>
        <w:t xml:space="preserve"> · موقع المجلة (</w:t>
      </w:r>
      <w:r>
        <w:rPr>
          <w:rFonts w:ascii="Calibri" w:cs="Arial" w:eastAsia="Calibri" w:hAnsi="Calibri"/>
          <w:color w:val="5F6E68"/>
          <w:sz w:val="18"/>
          <w:szCs w:val="18"/>
        </w:rPr>
        <w:t xml:space="preserve">aos.ro)</w:t>
      </w:r>
    </w:p>
    <w:p>
      <w:pPr>
        <w:keepNext/>
        <w:spacing w:after="40" w:before="180"/>
      </w:pPr>
      <w:r>
        <w:rPr>
          <w:rFonts w:ascii="Calibri" w:cs="Arial" w:eastAsia="Calibri" w:hAnsi="Calibri"/>
          <w:b/>
          <w:bCs/>
          <w:color w:val="14302A"/>
          <w:sz w:val="23"/>
          <w:szCs w:val="23"/>
        </w:rPr>
        <w:t xml:space="preserve">‎[23] Safwat et al. (2024)‎</w:t>
      </w:r>
    </w:p>
    <w:p>
      <w:pPr>
        <w:keepNext/>
        <w:spacing w:after="60" w:line="260"/>
      </w:pPr>
      <w:r>
        <w:rPr>
          <w:rFonts w:ascii="Calibri" w:cs="Arial" w:eastAsia="Calibri" w:hAnsi="Calibri"/>
          <w:color w:val="5F6E68"/>
          <w:sz w:val="18"/>
          <w:szCs w:val="18"/>
        </w:rPr>
        <w:t xml:space="preserve">‎Safwat, H., Abdel-Rehim, A. A., El-Mahallawi, I., Hussein, A. A., Amer, A. M., Elshazly, E., &amp; Elshamy, A. I. (2024). Guidelines for data collection on energy performance of higher-education buildings in Egypt: a case study. HBRC Journal, 20(1), 615–642. doi:10.1080/16874048.2024.2345553‎</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مباني الجامعات المصرية غالبًا لا تملك سجلات شهرية للكهرباء والغاز لكل مبنى، فيبني الباحثون استمارات للأجهزة والتكييف لتقدير الاستهلاك؛ وفي دراسة الحالة تهيمن الحواسب والمعامل والإضاءة والتكييف على استهلاك الكهرباء.</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دليل مصري على أن البيانات التي تنتجها أجهزتنا غير موجودة حاليًا، ونستخدم فكرة الحصر نفسها في الأسبوع الثاني.</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kxdywq6palkffbdtmyebe">
        <w:r>
          <w:rPr>
            <w:rStyle w:val="Hyperlink"/>
            <w:rFonts w:ascii="Calibri" w:cs="Arial" w:eastAsia="Calibri" w:hAnsi="Calibri"/>
          </w:rPr>
          <w:t xml:space="preserve">https://doi.org/10.1080/16874048.2024.2345553</w:t>
        </w:r>
      </w:hyperlink>
      <w:r>
        <w:rPr>
          <w:rFonts w:ascii="Calibri" w:cs="Arial" w:eastAsia="Calibri" w:hAnsi="Calibri"/>
          <w:color w:val="5F6E68"/>
          <w:sz w:val="18"/>
          <w:szCs w:val="18"/>
          <w:rtl/>
        </w:rPr>
        <w:t xml:space="preserve"> · مفتوح المصدر (وأيضًا </w:t>
      </w:r>
      <w:r>
        <w:rPr>
          <w:rFonts w:ascii="Calibri" w:cs="Arial" w:eastAsia="Calibri" w:hAnsi="Calibri"/>
          <w:color w:val="5F6E68"/>
          <w:sz w:val="18"/>
          <w:szCs w:val="18"/>
        </w:rPr>
        <w:t xml:space="preserve">openresearch.lsbu.ac.uk/item/97z76)</w:t>
      </w:r>
    </w:p>
    <w:p>
      <w:pPr>
        <w:keepNext/>
        <w:spacing w:after="40" w:before="180"/>
      </w:pPr>
      <w:r>
        <w:rPr>
          <w:rFonts w:ascii="Calibri" w:cs="Arial" w:eastAsia="Calibri" w:hAnsi="Calibri"/>
          <w:b/>
          <w:bCs/>
          <w:color w:val="14302A"/>
          <w:sz w:val="23"/>
          <w:szCs w:val="23"/>
        </w:rPr>
        <w:t xml:space="preserve">‎[24] Hamada, Hong and Raslan (2025)‎</w:t>
      </w:r>
    </w:p>
    <w:p>
      <w:pPr>
        <w:keepNext/>
        <w:spacing w:after="60" w:line="260"/>
      </w:pPr>
      <w:r>
        <w:rPr>
          <w:rFonts w:ascii="Calibri" w:cs="Arial" w:eastAsia="Calibri" w:hAnsi="Calibri"/>
          <w:color w:val="5F6E68"/>
          <w:sz w:val="18"/>
          <w:szCs w:val="18"/>
        </w:rPr>
        <w:t xml:space="preserve">‎Hamada, A. A., Hong, S.-M., &amp; Raslan, R. (2025). Evaluating the operational performance in Cairo’s public administrative buildings: stock characterisation and typical energy use. Energy and Buildings, 346, 116065. doi:10.1016/j.enbuild.2025.116065‎</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أول توصيف للمباني الإدارية الحكومية في القاهرة من بيانات عدادات فعلية: نحو 40% من الكهرباء للتبريد و60% للإضاءة والأجهزة، وشهر الشتاء يستهلك نحو 5% من الطاقة السنوية وشهر ذروة الصيف نحو 13%.</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يوضح أين تذهب طاقة المبنى الحكومي، ولماذا درجة الحرارة مدخل أساسي للتوقع.</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t9vsyu-zadded6uyoszd6">
        <w:r>
          <w:rPr>
            <w:rStyle w:val="Hyperlink"/>
            <w:rFonts w:ascii="Calibri" w:cs="Arial" w:eastAsia="Calibri" w:hAnsi="Calibri"/>
          </w:rPr>
          <w:t xml:space="preserve">https://discovery.ucl.ac.uk/id/eprint/10211499</w:t>
        </w:r>
      </w:hyperlink>
      <w:r>
        <w:rPr>
          <w:rFonts w:ascii="Calibri" w:cs="Arial" w:eastAsia="Calibri" w:hAnsi="Calibri"/>
          <w:color w:val="5F6E68"/>
          <w:sz w:val="18"/>
          <w:szCs w:val="18"/>
          <w:rtl/>
        </w:rPr>
        <w:t xml:space="preserve"> · نسخة مفتوحة على </w:t>
      </w:r>
      <w:r>
        <w:rPr>
          <w:rFonts w:ascii="Calibri" w:cs="Arial" w:eastAsia="Calibri" w:hAnsi="Calibri"/>
          <w:color w:val="5F6E68"/>
          <w:sz w:val="18"/>
          <w:szCs w:val="18"/>
        </w:rPr>
        <w:t xml:space="preserve">UCL Discovery</w:t>
      </w:r>
    </w:p>
    <w:p>
      <w:pPr>
        <w:keepNext/>
        <w:spacing w:after="40" w:before="180"/>
      </w:pPr>
      <w:r>
        <w:rPr>
          <w:rFonts w:ascii="Calibri" w:cs="Arial" w:eastAsia="Calibri" w:hAnsi="Calibri"/>
          <w:b/>
          <w:bCs/>
          <w:color w:val="14302A"/>
          <w:sz w:val="23"/>
          <w:szCs w:val="23"/>
        </w:rPr>
        <w:t xml:space="preserve">‎[25] García-Monge et al. (2023)‎</w:t>
      </w:r>
    </w:p>
    <w:p>
      <w:pPr>
        <w:keepNext/>
        <w:spacing w:after="60" w:line="260"/>
      </w:pPr>
      <w:r>
        <w:rPr>
          <w:rFonts w:ascii="Calibri" w:cs="Arial" w:eastAsia="Calibri" w:hAnsi="Calibri"/>
          <w:color w:val="5F6E68"/>
          <w:sz w:val="18"/>
          <w:szCs w:val="18"/>
        </w:rPr>
        <w:t xml:space="preserve">‎García-Monge, M., Zalba, B., Casas, R., Cano, E., Guillén-Lambea, S., López-Mesa, B., &amp; Martínez, I. (2023). Is IoT monitoring key to improve building energy efficiency? Case study of a smart campus in Spain. Energy and Buildings, 285, 112882. doi:10.1016/j.enbuild.2023.112882‎</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مراقبة </w:t>
      </w:r>
      <w:r>
        <w:rPr>
          <w:rFonts w:ascii="Calibri" w:cs="Arial" w:eastAsia="Calibri" w:hAnsi="Calibri"/>
        </w:rPr>
        <w:t xml:space="preserve">IoT</w:t>
      </w:r>
      <w:r>
        <w:rPr>
          <w:rFonts w:ascii="Calibri" w:cs="Arial" w:eastAsia="Calibri" w:hAnsi="Calibri"/>
          <w:rtl/>
        </w:rPr>
        <w:t xml:space="preserve"> مستمرة في حرم جامعة </w:t>
      </w:r>
      <w:r>
        <w:rPr>
          <w:rFonts w:ascii="Calibri" w:cs="Arial" w:eastAsia="Calibri" w:hAnsi="Calibri"/>
        </w:rPr>
        <w:t xml:space="preserve">Zaragoza</w:t>
      </w:r>
      <w:r>
        <w:rPr>
          <w:rFonts w:ascii="Calibri" w:cs="Arial" w:eastAsia="Calibri" w:hAnsi="Calibri"/>
          <w:rtl/>
        </w:rPr>
        <w:t xml:space="preserve"> لدعم قرارات الطاقة؛ يذكر الباحثون أن الطريقة يمكن أن توفر 40–70% من طاقة التكييف والتدفئة (</w:t>
      </w:r>
      <w:r>
        <w:rPr>
          <w:rFonts w:ascii="Calibri" w:cs="Arial" w:eastAsia="Calibri" w:hAnsi="Calibri"/>
        </w:rPr>
        <w:t xml:space="preserve">HVAC)</w:t>
      </w:r>
      <w:r>
        <w:rPr>
          <w:rFonts w:ascii="Calibri" w:cs="Arial" w:eastAsia="Calibri" w:hAnsi="Calibri"/>
          <w:rtl/>
        </w:rPr>
        <w:t xml:space="preserve">، ويؤكدون أهمية قياس </w:t>
      </w:r>
      <w:r>
        <w:rPr>
          <w:rFonts w:ascii="Calibri" w:cs="Arial" w:eastAsia="Calibri" w:hAnsi="Calibri"/>
        </w:rPr>
        <w:t xml:space="preserve">CO₂</w:t>
      </w:r>
      <w:r>
        <w:rPr>
          <w:rFonts w:ascii="Calibri" w:cs="Arial" w:eastAsia="Calibri" w:hAnsi="Calibri"/>
          <w:rtl/>
        </w:rPr>
        <w:t xml:space="preserve"> في الغرف متغيرة الإشغال.</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دليل مباشر على أن القياس المستمر لمبنى جامعي مجدٍ، خصوصًا للتكييف.</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f-785bk1i7keh9vcwwbpb">
        <w:r>
          <w:rPr>
            <w:rStyle w:val="Hyperlink"/>
            <w:rFonts w:ascii="Calibri" w:cs="Arial" w:eastAsia="Calibri" w:hAnsi="Calibri"/>
          </w:rPr>
          <w:t xml:space="preserve">https://doi.org/10.1016/j.enbuild.2023.112882</w:t>
        </w:r>
      </w:hyperlink>
      <w:r>
        <w:rPr>
          <w:rFonts w:ascii="Calibri" w:cs="Arial" w:eastAsia="Calibri" w:hAnsi="Calibri"/>
          <w:color w:val="5F6E68"/>
          <w:sz w:val="18"/>
          <w:szCs w:val="18"/>
          <w:rtl/>
        </w:rPr>
        <w:t xml:space="preserve"> · نسخة على مستودع جامعة </w:t>
      </w:r>
      <w:r>
        <w:rPr>
          <w:rFonts w:ascii="Calibri" w:cs="Arial" w:eastAsia="Calibri" w:hAnsi="Calibri"/>
          <w:color w:val="5F6E68"/>
          <w:sz w:val="18"/>
          <w:szCs w:val="18"/>
        </w:rPr>
        <w:t xml:space="preserve">Zaragoza: zaguan.unizar.es/record/130169</w:t>
      </w:r>
    </w:p>
    <w:p>
      <w:pPr>
        <w:pStyle w:val="Heading2"/>
        <w:bidi/>
      </w:pPr>
      <w:r>
        <w:rPr>
          <w:rFonts w:ascii="Calibri" w:cs="Arial" w:eastAsia="Calibri" w:hAnsi="Calibri"/>
          <w:rtl/>
        </w:rPr>
        <w:t xml:space="preserve">10.5 الأهداف والبيانات الوطنية</w:t>
      </w:r>
    </w:p>
    <w:p>
      <w:pPr>
        <w:keepNext/>
        <w:spacing w:after="40" w:before="180"/>
      </w:pPr>
      <w:r>
        <w:rPr>
          <w:rFonts w:ascii="Calibri" w:cs="Arial" w:eastAsia="Calibri" w:hAnsi="Calibri"/>
          <w:b/>
          <w:bCs/>
          <w:color w:val="14302A"/>
          <w:sz w:val="23"/>
          <w:szCs w:val="23"/>
        </w:rPr>
        <w:t xml:space="preserve">‎[26] Akenji et al. (2021)‎</w:t>
      </w:r>
    </w:p>
    <w:p>
      <w:pPr>
        <w:keepNext/>
        <w:spacing w:after="60" w:line="260"/>
      </w:pPr>
      <w:r>
        <w:rPr>
          <w:rFonts w:ascii="Calibri" w:cs="Arial" w:eastAsia="Calibri" w:hAnsi="Calibri"/>
          <w:color w:val="5F6E68"/>
          <w:sz w:val="18"/>
          <w:szCs w:val="18"/>
        </w:rPr>
        <w:t xml:space="preserve">‎Akenji, L., Bengtsson, M., Toivio, V., Lettenmeier, M., et al. (2021). 1.5-Degree Lifestyles: Towards a fair consumption space for all. Hot or Cool Institute, Berlin.‎</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يحدد أهدافًا لبصمة نمط الحياة للفرد متوافقة مع حد 1.5 درجة: نحو 2.5 طن </w:t>
      </w:r>
      <w:r>
        <w:rPr>
          <w:rFonts w:ascii="Calibri" w:cs="Arial" w:eastAsia="Calibri" w:hAnsi="Calibri"/>
        </w:rPr>
        <w:t xml:space="preserve">CO₂e</w:t>
      </w:r>
      <w:r>
        <w:rPr>
          <w:rFonts w:ascii="Calibri" w:cs="Arial" w:eastAsia="Calibri" w:hAnsi="Calibri"/>
          <w:rtl/>
        </w:rPr>
        <w:t xml:space="preserve"> بحلول 2030 تنخفض إلى 0.7 طن بحلول 2050، ويقارن بصمة نمط الحياة في عشر دول.</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هدف 2.5 طن هو أساس ميزانيتنا اليومية للفرد: </w:t>
      </w:r>
      <w:r>
        <w:rPr>
          <w:rFonts w:ascii="Calibri" w:cs="Arial" w:eastAsia="Calibri" w:hAnsi="Calibri"/>
        </w:rPr>
        <w:t xml:space="preserve">‎2,500 ÷ 365 ≈ 6.8‎</w:t>
      </w:r>
      <w:r>
        <w:rPr>
          <w:rFonts w:ascii="Calibri" w:cs="Arial" w:eastAsia="Calibri" w:hAnsi="Calibri"/>
          <w:rtl/>
        </w:rPr>
        <w:t xml:space="preserve"> كجم.</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8u5bdl29sppo2fpv5s9ds">
        <w:r>
          <w:rPr>
            <w:rStyle w:val="Hyperlink"/>
            <w:rFonts w:ascii="Calibri" w:cs="Arial" w:eastAsia="Calibri" w:hAnsi="Calibri"/>
          </w:rPr>
          <w:t xml:space="preserve">https://hotorcool.org/1-5-degree-lifestyles-report</w:t>
        </w:r>
      </w:hyperlink>
      <w:r>
        <w:rPr>
          <w:rFonts w:ascii="Calibri" w:cs="Arial" w:eastAsia="Calibri" w:hAnsi="Calibri"/>
          <w:color w:val="5F6E68"/>
          <w:sz w:val="18"/>
          <w:szCs w:val="18"/>
          <w:rtl/>
        </w:rPr>
        <w:t xml:space="preserve"> · تحميل مجاني من موقع المعهد</w:t>
      </w:r>
    </w:p>
    <w:p>
      <w:pPr>
        <w:keepNext/>
        <w:spacing w:after="40" w:before="180"/>
      </w:pPr>
      <w:r>
        <w:rPr>
          <w:rFonts w:ascii="Calibri" w:cs="Arial" w:eastAsia="Calibri" w:hAnsi="Calibri"/>
          <w:b/>
          <w:bCs/>
          <w:color w:val="14302A"/>
          <w:sz w:val="23"/>
          <w:szCs w:val="23"/>
        </w:rPr>
        <w:t xml:space="preserve">‎[27] Crippa et al. (EDGAR) (2024)‎</w:t>
      </w:r>
    </w:p>
    <w:p>
      <w:pPr>
        <w:keepNext/>
        <w:spacing w:after="60" w:line="260"/>
      </w:pPr>
      <w:r>
        <w:rPr>
          <w:rFonts w:ascii="Calibri" w:cs="Arial" w:eastAsia="Calibri" w:hAnsi="Calibri"/>
          <w:color w:val="5F6E68"/>
          <w:sz w:val="18"/>
          <w:szCs w:val="18"/>
        </w:rPr>
        <w:t xml:space="preserve">‎Crippa, M., Guizzardi, D., Pagani, F., et al. (2024). GHG emissions of all world countries: 2024 report. Publications Office of the European Union, Luxembourg. JRC138862. doi:10.2760/4002897‎</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انبعاثات غازات الاحتباس الحراري لكل دول العالم من 1970 إلى 2023 حسب القطاع، من قاعدة بيانات </w:t>
      </w:r>
      <w:r>
        <w:rPr>
          <w:rFonts w:ascii="Calibri" w:cs="Arial" w:eastAsia="Calibri" w:hAnsi="Calibri"/>
        </w:rPr>
        <w:t xml:space="preserve">EDGAR</w:t>
      </w:r>
      <w:r>
        <w:rPr>
          <w:rFonts w:ascii="Calibri" w:cs="Arial" w:eastAsia="Calibri" w:hAnsi="Calibri"/>
          <w:rtl/>
        </w:rPr>
        <w:t xml:space="preserve"> التابعة لمركز البحوث المشترك بالمفوضية الأوروبية بالتعاون مع </w:t>
      </w:r>
      <w:r>
        <w:rPr>
          <w:rFonts w:ascii="Calibri" w:cs="Arial" w:eastAsia="Calibri" w:hAnsi="Calibri"/>
        </w:rPr>
        <w:t xml:space="preserve">IEA.</w:t>
      </w:r>
    </w:p>
    <w:p>
      <w:pPr>
        <w:bidi/>
        <w:spacing w:after="40" w:line="290"/>
      </w:pPr>
      <w:r>
        <w:rPr>
          <w:rFonts w:ascii="Calibri" w:cs="Arial" w:eastAsia="Calibri" w:hAnsi="Calibri"/>
          <w:b/>
          <w:bCs/>
          <w:color w:val="14302A"/>
          <w:rtl/>
        </w:rPr>
        <w:t xml:space="preserve">ما نستفيده:</w:t>
      </w:r>
      <w:r>
        <w:rPr>
          <w:rFonts w:ascii="Calibri" w:cs="Arial" w:eastAsia="Calibri" w:hAnsi="Calibri"/>
          <w:rtl/>
        </w:rPr>
        <w:t xml:space="preserve"> مصدر نصيب الفرد في مصر (3.4 طن) وفي العالم (6.6 طن) في 2023.</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peau5cvo6kn2qibs8xxn8">
        <w:r>
          <w:rPr>
            <w:rStyle w:val="Hyperlink"/>
            <w:rFonts w:ascii="Calibri" w:cs="Arial" w:eastAsia="Calibri" w:hAnsi="Calibri"/>
          </w:rPr>
          <w:t xml:space="preserve">https://data.europa.eu/doi/10.2760/4002897</w:t>
        </w:r>
      </w:hyperlink>
      <w:r>
        <w:rPr>
          <w:rFonts w:ascii="Calibri" w:cs="Arial" w:eastAsia="Calibri" w:hAnsi="Calibri"/>
          <w:color w:val="5F6E68"/>
          <w:sz w:val="18"/>
          <w:szCs w:val="18"/>
          <w:rtl/>
        </w:rPr>
        <w:t xml:space="preserve"> · مجاني</w:t>
      </w:r>
    </w:p>
    <w:p>
      <w:pPr>
        <w:pStyle w:val="Heading2"/>
        <w:bidi/>
      </w:pPr>
      <w:r>
        <w:rPr>
          <w:rFonts w:ascii="Calibri" w:cs="Arial" w:eastAsia="Calibri" w:hAnsi="Calibri"/>
          <w:rtl/>
        </w:rPr>
        <w:t xml:space="preserve">10.6 التقنيات المستخدمة في التطبيق وجهاز القياس</w:t>
      </w:r>
    </w:p>
    <w:p>
      <w:pPr>
        <w:keepNext/>
        <w:spacing w:after="40" w:before="180"/>
      </w:pPr>
      <w:r>
        <w:rPr>
          <w:rFonts w:ascii="Calibri" w:cs="Arial" w:eastAsia="Calibri" w:hAnsi="Calibri"/>
          <w:b/>
          <w:bCs/>
          <w:color w:val="14302A"/>
          <w:sz w:val="23"/>
          <w:szCs w:val="23"/>
        </w:rPr>
        <w:t xml:space="preserve">‎[28] Ajufo and Bekaroo (2021)‎</w:t>
      </w:r>
    </w:p>
    <w:p>
      <w:pPr>
        <w:keepNext/>
        <w:spacing w:after="60" w:line="260"/>
      </w:pPr>
      <w:r>
        <w:rPr>
          <w:rFonts w:ascii="Calibri" w:cs="Arial" w:eastAsia="Calibri" w:hAnsi="Calibri"/>
          <w:color w:val="5F6E68"/>
          <w:sz w:val="18"/>
          <w:szCs w:val="18"/>
        </w:rPr>
        <w:t xml:space="preserve">‎Ajufo, C., &amp; Bekaroo, G. (2021). An automated personal carbon footprint calculator for estimating carbon emissions from transportation use. In Proceedings of the International Conference on Artificial Intelligence and its Applications (icARTi ’21). ACM. doi:10.1145/3487923.3487935‎</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تطبيق </w:t>
      </w:r>
      <w:r>
        <w:rPr>
          <w:rFonts w:ascii="Calibri" w:cs="Arial" w:eastAsia="Calibri" w:hAnsi="Calibri"/>
        </w:rPr>
        <w:t xml:space="preserve">TCTracker</w:t>
      </w:r>
      <w:r>
        <w:rPr>
          <w:rFonts w:ascii="Calibri" w:cs="Arial" w:eastAsia="Calibri" w:hAnsi="Calibri"/>
          <w:rtl/>
        </w:rPr>
        <w:t xml:space="preserve"> يقدّر انبعاثات المواصلات للفرد تلقائيًا من الـ </w:t>
      </w:r>
      <w:r>
        <w:rPr>
          <w:rFonts w:ascii="Calibri" w:cs="Arial" w:eastAsia="Calibri" w:hAnsi="Calibri"/>
        </w:rPr>
        <w:t xml:space="preserve">GPS</w:t>
      </w:r>
      <w:r>
        <w:rPr>
          <w:rFonts w:ascii="Calibri" w:cs="Arial" w:eastAsia="Calibri" w:hAnsi="Calibri"/>
          <w:rtl/>
        </w:rPr>
        <w:t xml:space="preserve"> مع اكتشاف الوسيلة بالذكاء الاصطناعي، وقُيّم مع 40 مستخدمًا بنموذج تقبّل التكنولوجيا (</w:t>
      </w:r>
      <w:r>
        <w:rPr>
          <w:rFonts w:ascii="Calibri" w:cs="Arial" w:eastAsia="Calibri" w:hAnsi="Calibri"/>
        </w:rPr>
        <w:t xml:space="preserve">TAM).</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232yd6mmqz4pnneneb_r-">
        <w:r>
          <w:rPr>
            <w:rStyle w:val="Hyperlink"/>
            <w:rFonts w:ascii="Calibri" w:cs="Arial" w:eastAsia="Calibri" w:hAnsi="Calibri"/>
          </w:rPr>
          <w:t xml:space="preserve">https://doi.org/10.1145/3487923.3487935</w:t>
        </w:r>
      </w:hyperlink>
      <w:r>
        <w:rPr>
          <w:rFonts w:ascii="Calibri" w:cs="Arial" w:eastAsia="Calibri" w:hAnsi="Calibri"/>
          <w:color w:val="5F6E68"/>
          <w:sz w:val="18"/>
          <w:szCs w:val="18"/>
          <w:rtl/>
        </w:rPr>
        <w:t xml:space="preserve"> · مكتبة </w:t>
      </w:r>
      <w:r>
        <w:rPr>
          <w:rFonts w:ascii="Calibri" w:cs="Arial" w:eastAsia="Calibri" w:hAnsi="Calibri"/>
          <w:color w:val="5F6E68"/>
          <w:sz w:val="18"/>
          <w:szCs w:val="18"/>
        </w:rPr>
        <w:t xml:space="preserve">ACM</w:t>
      </w:r>
      <w:r>
        <w:rPr>
          <w:rFonts w:ascii="Calibri" w:cs="Arial" w:eastAsia="Calibri" w:hAnsi="Calibri"/>
          <w:color w:val="5F6E68"/>
          <w:sz w:val="18"/>
          <w:szCs w:val="18"/>
          <w:rtl/>
        </w:rPr>
        <w:t xml:space="preserve"> الرقمية (من خلال حساب مكتبة الجامعة)</w:t>
      </w:r>
    </w:p>
    <w:p>
      <w:pPr>
        <w:keepNext/>
        <w:spacing w:after="40" w:before="180"/>
      </w:pPr>
      <w:r>
        <w:rPr>
          <w:rFonts w:ascii="Calibri" w:cs="Arial" w:eastAsia="Calibri" w:hAnsi="Calibri"/>
          <w:b/>
          <w:bCs/>
          <w:color w:val="14302A"/>
          <w:sz w:val="23"/>
          <w:szCs w:val="23"/>
        </w:rPr>
        <w:t xml:space="preserve">‎[29] Bekaroo et al. (2021)‎</w:t>
      </w:r>
    </w:p>
    <w:p>
      <w:pPr>
        <w:keepNext/>
        <w:spacing w:after="60" w:line="260"/>
      </w:pPr>
      <w:r>
        <w:rPr>
          <w:rFonts w:ascii="Calibri" w:cs="Arial" w:eastAsia="Calibri" w:hAnsi="Calibri"/>
          <w:color w:val="5F6E68"/>
          <w:sz w:val="18"/>
          <w:szCs w:val="18"/>
        </w:rPr>
        <w:t xml:space="preserve">‎Bekaroo, G., Roopowa, D., Zakari, A., &amp; Niemeier, D. (2021). Calculating carbon emissions from personal travelling: insights from a top-down analysis of key calculators. Environmental Science and Pollution Research, 28(7), 8853–8872. doi:10.1007/s11356-020-11179-z‎</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يحلل عشر حاسبات لانبعاثات المواصلات: تختلف في مستوى التفصيل، وشفافيتها محدودة، وتعطي أحيانًا نتائج مختلفة جدًا لنفس الرحلة، ولا تجذب المستخدمين بالقدر الكافي.</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jl61bspawyt2ss9ig2upk">
        <w:r>
          <w:rPr>
            <w:rStyle w:val="Hyperlink"/>
            <w:rFonts w:ascii="Calibri" w:cs="Arial" w:eastAsia="Calibri" w:hAnsi="Calibri"/>
          </w:rPr>
          <w:t xml:space="preserve">https://doi.org/10.1007/s11356-020-11179-z</w:t>
        </w:r>
      </w:hyperlink>
      <w:r>
        <w:rPr>
          <w:rFonts w:ascii="Calibri" w:cs="Arial" w:eastAsia="Calibri" w:hAnsi="Calibri"/>
          <w:color w:val="5F6E68"/>
          <w:sz w:val="18"/>
          <w:szCs w:val="18"/>
          <w:rtl/>
        </w:rPr>
        <w:t xml:space="preserve"> · نسخة مجانية من المؤلف: </w:t>
      </w:r>
      <w:r>
        <w:rPr>
          <w:rFonts w:ascii="Calibri" w:cs="Arial" w:eastAsia="Calibri" w:hAnsi="Calibri"/>
          <w:color w:val="5F6E68"/>
          <w:sz w:val="18"/>
          <w:szCs w:val="18"/>
        </w:rPr>
        <w:t xml:space="preserve">repository.mdx.ac.uk/item/8929y</w:t>
      </w:r>
    </w:p>
    <w:p>
      <w:pPr>
        <w:keepNext/>
        <w:spacing w:after="40" w:before="180"/>
      </w:pPr>
      <w:r>
        <w:rPr>
          <w:rFonts w:ascii="Calibri" w:cs="Arial" w:eastAsia="Calibri" w:hAnsi="Calibri"/>
          <w:b/>
          <w:bCs/>
          <w:color w:val="14302A"/>
          <w:sz w:val="23"/>
          <w:szCs w:val="23"/>
        </w:rPr>
        <w:t xml:space="preserve">‎[30] Zhang et al. (2026)‎</w:t>
      </w:r>
    </w:p>
    <w:p>
      <w:pPr>
        <w:keepNext/>
        <w:spacing w:after="60" w:line="260"/>
      </w:pPr>
      <w:r>
        <w:rPr>
          <w:rFonts w:ascii="Calibri" w:cs="Arial" w:eastAsia="Calibri" w:hAnsi="Calibri"/>
          <w:color w:val="5F6E68"/>
          <w:sz w:val="18"/>
          <w:szCs w:val="18"/>
        </w:rPr>
        <w:t xml:space="preserve">‎Zhang, Y., Echchabi, O., Feng, T., Zhang, W., Liao, H.-K., &amp; Chang, C. (2026). Detecting transportation mode using dense smartphone GPS trajectories and Transformer models. International Journal of Geographical Information Science. arXiv:2603.00340‎</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نموذج </w:t>
      </w:r>
      <w:r>
        <w:rPr>
          <w:rFonts w:ascii="Calibri" w:cs="Arial" w:eastAsia="Calibri" w:hAnsi="Calibri"/>
        </w:rPr>
        <w:t xml:space="preserve">SpeedTransformer</w:t>
      </w:r>
      <w:r>
        <w:rPr>
          <w:rFonts w:ascii="Calibri" w:cs="Arial" w:eastAsia="Calibri" w:hAnsi="Calibri"/>
          <w:rtl/>
        </w:rPr>
        <w:t xml:space="preserve"> قائم على </w:t>
      </w:r>
      <w:r>
        <w:rPr>
          <w:rFonts w:ascii="Calibri" w:cs="Arial" w:eastAsia="Calibri" w:hAnsi="Calibri"/>
        </w:rPr>
        <w:t xml:space="preserve">Transformer</w:t>
      </w:r>
      <w:r>
        <w:rPr>
          <w:rFonts w:ascii="Calibri" w:cs="Arial" w:eastAsia="Calibri" w:hAnsi="Calibri"/>
          <w:rtl/>
        </w:rPr>
        <w:t xml:space="preserve"> يكتشف وسيلة المواصلات من بيانات سرعة </w:t>
      </w:r>
      <w:r>
        <w:rPr>
          <w:rFonts w:ascii="Calibri" w:cs="Arial" w:eastAsia="Calibri" w:hAnsi="Calibri"/>
        </w:rPr>
        <w:t xml:space="preserve">GPS</w:t>
      </w:r>
      <w:r>
        <w:rPr>
          <w:rFonts w:ascii="Calibri" w:cs="Arial" w:eastAsia="Calibri" w:hAnsi="Calibri"/>
          <w:rtl/>
        </w:rPr>
        <w:t xml:space="preserve"> كثيفة من الهاتف، وجُرّب في تطبيق </w:t>
      </w:r>
      <w:r>
        <w:rPr>
          <w:rFonts w:ascii="Calibri" w:cs="Arial" w:eastAsia="Calibri" w:hAnsi="Calibri"/>
        </w:rPr>
        <w:t xml:space="preserve">CarbonClever</w:t>
      </w:r>
      <w:r>
        <w:rPr>
          <w:rFonts w:ascii="Calibri" w:cs="Arial" w:eastAsia="Calibri" w:hAnsi="Calibri"/>
          <w:rtl/>
        </w:rPr>
        <w:t xml:space="preserve"> مع 348 مستخدمًا لتقدير بصمة مواصلاتهم.</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fzjsucqweur4rursmxnwd">
        <w:r>
          <w:rPr>
            <w:rStyle w:val="Hyperlink"/>
            <w:rFonts w:ascii="Calibri" w:cs="Arial" w:eastAsia="Calibri" w:hAnsi="Calibri"/>
          </w:rPr>
          <w:t xml:space="preserve">https://arxiv.org/abs/2603.00340</w:t>
        </w:r>
      </w:hyperlink>
      <w:r>
        <w:rPr>
          <w:rFonts w:ascii="Calibri" w:cs="Arial" w:eastAsia="Calibri" w:hAnsi="Calibri"/>
          <w:color w:val="5F6E68"/>
          <w:sz w:val="18"/>
          <w:szCs w:val="18"/>
          <w:rtl/>
        </w:rPr>
        <w:t xml:space="preserve"> · مجاني على </w:t>
      </w:r>
      <w:r>
        <w:rPr>
          <w:rFonts w:ascii="Calibri" w:cs="Arial" w:eastAsia="Calibri" w:hAnsi="Calibri"/>
          <w:color w:val="5F6E68"/>
          <w:sz w:val="18"/>
          <w:szCs w:val="18"/>
        </w:rPr>
        <w:t xml:space="preserve">arXiv</w:t>
      </w:r>
    </w:p>
    <w:p>
      <w:pPr>
        <w:keepNext/>
        <w:spacing w:after="40" w:before="180"/>
      </w:pPr>
      <w:r>
        <w:rPr>
          <w:rFonts w:ascii="Calibri" w:cs="Arial" w:eastAsia="Calibri" w:hAnsi="Calibri"/>
          <w:b/>
          <w:bCs/>
          <w:color w:val="14302A"/>
          <w:sz w:val="23"/>
          <w:szCs w:val="23"/>
        </w:rPr>
        <w:t xml:space="preserve">‎[31] Sadeghian, Håkansson and Zhao (2021)‎</w:t>
      </w:r>
    </w:p>
    <w:p>
      <w:pPr>
        <w:keepNext/>
        <w:spacing w:after="60" w:line="260"/>
      </w:pPr>
      <w:r>
        <w:rPr>
          <w:rFonts w:ascii="Calibri" w:cs="Arial" w:eastAsia="Calibri" w:hAnsi="Calibri"/>
          <w:color w:val="5F6E68"/>
          <w:sz w:val="18"/>
          <w:szCs w:val="18"/>
        </w:rPr>
        <w:t xml:space="preserve">‎Sadeghian, P., Håkansson, J., &amp; Zhao, X. (2021). Review and evaluation of methods in transport mode detection based on GPS tracking data. Journal of Traffic and Transportation Engineering (English Edition), 8(4), 467–482.‎</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يراجع ويقارن طرق اكتشاف وسيلة المواصلات من بيانات </w:t>
      </w:r>
      <w:r>
        <w:rPr>
          <w:rFonts w:ascii="Calibri" w:cs="Arial" w:eastAsia="Calibri" w:hAnsi="Calibri"/>
        </w:rPr>
        <w:t xml:space="preserve">GPS</w:t>
      </w:r>
      <w:r>
        <w:rPr>
          <w:rFonts w:ascii="Calibri" w:cs="Arial" w:eastAsia="Calibri" w:hAnsi="Calibri"/>
          <w:rtl/>
        </w:rPr>
        <w:t xml:space="preserve">؛ أغلبها </w:t>
      </w:r>
      <w:r>
        <w:rPr>
          <w:rFonts w:ascii="Calibri" w:cs="Arial" w:eastAsia="Calibri" w:hAnsi="Calibri"/>
        </w:rPr>
        <w:t xml:space="preserve">Supervised</w:t>
      </w:r>
      <w:r>
        <w:rPr>
          <w:rFonts w:ascii="Calibri" w:cs="Arial" w:eastAsia="Calibri" w:hAnsi="Calibri"/>
          <w:rtl/>
        </w:rPr>
        <w:t xml:space="preserve"> ويحتاج رحلات مُسمّاة يدويًا، وهو أمر بطيء وعرضة للخطأ، والتعلم العميق واعد مع البيانات غير المسماة.</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vp1zd-3ql5ghziewgilfz">
        <w:r>
          <w:rPr>
            <w:rStyle w:val="Hyperlink"/>
            <w:rFonts w:ascii="Calibri" w:cs="Arial" w:eastAsia="Calibri" w:hAnsi="Calibri"/>
          </w:rPr>
          <w:t xml:space="preserve">https://doaj.org/article/cedcdc9d16f541aaa07a5c67ef7f5d2b</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‎[32] Wang et al. (SHL) (2021)‎</w:t>
      </w:r>
    </w:p>
    <w:p>
      <w:pPr>
        <w:keepNext/>
        <w:spacing w:after="60" w:line="260"/>
      </w:pPr>
      <w:r>
        <w:rPr>
          <w:rFonts w:ascii="Calibri" w:cs="Arial" w:eastAsia="Calibri" w:hAnsi="Calibri"/>
          <w:color w:val="5F6E68"/>
          <w:sz w:val="18"/>
          <w:szCs w:val="18"/>
        </w:rPr>
        <w:t xml:space="preserve">‎Wang, L., Gjoreski, H., Ciliberto, M., Lago, P., Murao, K., Okita, T., &amp; Roggen, D. (2021). Three-year review of the 2018–2020 SHL challenge on transportation and locomotion mode recognition from mobile sensors. Frontiers in Computer Science, 3, 713719. doi:10.3389/fcomp.2021.713719‎</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يستعرض ثلاث سنوات من مسابقة </w:t>
      </w:r>
      <w:r>
        <w:rPr>
          <w:rFonts w:ascii="Calibri" w:cs="Arial" w:eastAsia="Calibri" w:hAnsi="Calibri"/>
        </w:rPr>
        <w:t xml:space="preserve">SHL</w:t>
      </w:r>
      <w:r>
        <w:rPr>
          <w:rFonts w:ascii="Calibri" w:cs="Arial" w:eastAsia="Calibri" w:hAnsi="Calibri"/>
          <w:rtl/>
        </w:rPr>
        <w:t xml:space="preserve"> (8 وسائل من حساسات حركة الهاتف، و48 مشاركة)؛ أغلب الوسائل تُكتشف جيدًا، لكن التفريق بين القطارات والطرق ما زال صعبًا.</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pcockamwwgabstluosf-m">
        <w:r>
          <w:rPr>
            <w:rStyle w:val="Hyperlink"/>
            <w:rFonts w:ascii="Calibri" w:cs="Arial" w:eastAsia="Calibri" w:hAnsi="Calibri"/>
          </w:rPr>
          <w:t xml:space="preserve">https://doi.org/10.3389/fcomp.2021.713719</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‎[33] Wang and Jiang (2022)‎</w:t>
      </w:r>
    </w:p>
    <w:p>
      <w:pPr>
        <w:keepNext/>
        <w:spacing w:after="60" w:line="260"/>
      </w:pPr>
      <w:r>
        <w:rPr>
          <w:rFonts w:ascii="Calibri" w:cs="Arial" w:eastAsia="Calibri" w:hAnsi="Calibri"/>
          <w:color w:val="5F6E68"/>
          <w:sz w:val="18"/>
          <w:szCs w:val="18"/>
        </w:rPr>
        <w:t xml:space="preserve">‎Wang, P., &amp; Jiang, Y. (2022). Transportation mode detection using temporal convolutional networks based on sensors integrated into smartphones. Sensors, 22(17), 6712. doi:10.3390/s22176712‎</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نموذج </w:t>
      </w:r>
      <w:r>
        <w:rPr>
          <w:rFonts w:ascii="Calibri" w:cs="Arial" w:eastAsia="Calibri" w:hAnsi="Calibri"/>
        </w:rPr>
        <w:t xml:space="preserve">T2Trans</w:t>
      </w:r>
      <w:r>
        <w:rPr>
          <w:rFonts w:ascii="Calibri" w:cs="Arial" w:eastAsia="Calibri" w:hAnsi="Calibri"/>
          <w:rtl/>
        </w:rPr>
        <w:t xml:space="preserve">، شبكة </w:t>
      </w:r>
      <w:r>
        <w:rPr>
          <w:rFonts w:ascii="Calibri" w:cs="Arial" w:eastAsia="Calibri" w:hAnsi="Calibri"/>
        </w:rPr>
        <w:t xml:space="preserve">Temporal Convolutional</w:t>
      </w:r>
      <w:r>
        <w:rPr>
          <w:rFonts w:ascii="Calibri" w:cs="Arial" w:eastAsia="Calibri" w:hAnsi="Calibri"/>
          <w:rtl/>
        </w:rPr>
        <w:t xml:space="preserve"> على حساسات هاتف خفيفة، حقق </w:t>
      </w:r>
      <w:r>
        <w:rPr>
          <w:rFonts w:ascii="Calibri" w:cs="Arial" w:eastAsia="Calibri" w:hAnsi="Calibri"/>
        </w:rPr>
        <w:t xml:space="preserve">Macro F1</w:t>
      </w:r>
      <w:r>
        <w:rPr>
          <w:rFonts w:ascii="Calibri" w:cs="Arial" w:eastAsia="Calibri" w:hAnsi="Calibri"/>
          <w:rtl/>
        </w:rPr>
        <w:t xml:space="preserve"> بنسبة 86.42% على بيانات </w:t>
      </w:r>
      <w:r>
        <w:rPr>
          <w:rFonts w:ascii="Calibri" w:cs="Arial" w:eastAsia="Calibri" w:hAnsi="Calibri"/>
        </w:rPr>
        <w:t xml:space="preserve">SHL</w:t>
      </w:r>
      <w:r>
        <w:rPr>
          <w:rFonts w:ascii="Calibri" w:cs="Arial" w:eastAsia="Calibri" w:hAnsi="Calibri"/>
          <w:rtl/>
        </w:rPr>
        <w:t xml:space="preserve"> و88.37% على بيانات </w:t>
      </w:r>
      <w:r>
        <w:rPr>
          <w:rFonts w:ascii="Calibri" w:cs="Arial" w:eastAsia="Calibri" w:hAnsi="Calibri"/>
        </w:rPr>
        <w:t xml:space="preserve">HTC</w:t>
      </w:r>
      <w:r>
        <w:rPr>
          <w:rFonts w:ascii="Calibri" w:cs="Arial" w:eastAsia="Calibri" w:hAnsi="Calibri"/>
          <w:rtl/>
        </w:rPr>
        <w:t xml:space="preserve"> لثماني وسائل.</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61d_nynvdvsli80wmtcx0">
        <w:r>
          <w:rPr>
            <w:rStyle w:val="Hyperlink"/>
            <w:rFonts w:ascii="Calibri" w:cs="Arial" w:eastAsia="Calibri" w:hAnsi="Calibri"/>
          </w:rPr>
          <w:t xml:space="preserve">https://doi.org/10.3390/s22176712</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‎[34] Tahir and Loo (2021)‎</w:t>
      </w:r>
    </w:p>
    <w:p>
      <w:pPr>
        <w:keepNext/>
        <w:spacing w:after="60" w:line="260"/>
      </w:pPr>
      <w:r>
        <w:rPr>
          <w:rFonts w:ascii="Calibri" w:cs="Arial" w:eastAsia="Calibri" w:hAnsi="Calibri"/>
          <w:color w:val="5F6E68"/>
          <w:sz w:val="18"/>
          <w:szCs w:val="18"/>
        </w:rPr>
        <w:t xml:space="preserve">‎Tahir, G. A., &amp; Loo, C. K. (2021). A comprehensive survey of image-based food recognition and volume estimation methods for dietary assessment. Healthcare, 9(12), 1676. doi:10.3390/healthcare9121676‎</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مسح لطرق التعرف على الطعام وتقدير حجمه والتطبيقات التي تستخدمها؛ نحو ثلثي الدراسات تستخدم خصائص بصرية عميقة، وكلها تستخدم أنواعًا من شبكات </w:t>
      </w:r>
      <w:r>
        <w:rPr>
          <w:rFonts w:ascii="Calibri" w:cs="Arial" w:eastAsia="Calibri" w:hAnsi="Calibri"/>
        </w:rPr>
        <w:t xml:space="preserve">CNN</w:t>
      </w:r>
      <w:r>
        <w:rPr>
          <w:rFonts w:ascii="Calibri" w:cs="Arial" w:eastAsia="Calibri" w:hAnsi="Calibri"/>
          <w:rtl/>
        </w:rPr>
        <w:t xml:space="preserve"> للتعرف على المكونات.</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neurxegn52nhlri6h-bka">
        <w:r>
          <w:rPr>
            <w:rStyle w:val="Hyperlink"/>
            <w:rFonts w:ascii="Calibri" w:cs="Arial" w:eastAsia="Calibri" w:hAnsi="Calibri"/>
          </w:rPr>
          <w:t xml:space="preserve">https://doi.org/10.3390/healthcare9121676</w:t>
        </w:r>
      </w:hyperlink>
      <w:r>
        <w:rPr>
          <w:rFonts w:ascii="Calibri" w:cs="Arial" w:eastAsia="Calibri" w:hAnsi="Calibri"/>
          <w:color w:val="5F6E68"/>
          <w:sz w:val="18"/>
          <w:szCs w:val="18"/>
          <w:rtl/>
        </w:rPr>
        <w:t xml:space="preserve"> · مفتوح المصدر (وأيضًا </w:t>
      </w:r>
      <w:r>
        <w:rPr>
          <w:rFonts w:ascii="Calibri" w:cs="Arial" w:eastAsia="Calibri" w:hAnsi="Calibri"/>
          <w:color w:val="5F6E68"/>
          <w:sz w:val="18"/>
          <w:szCs w:val="18"/>
        </w:rPr>
        <w:t xml:space="preserve">arXiv:2106.11776)</w:t>
      </w:r>
    </w:p>
    <w:p>
      <w:pPr>
        <w:keepNext/>
        <w:spacing w:after="40" w:before="180"/>
      </w:pPr>
      <w:r>
        <w:rPr>
          <w:rFonts w:ascii="Calibri" w:cs="Arial" w:eastAsia="Calibri" w:hAnsi="Calibri"/>
          <w:b/>
          <w:bCs/>
          <w:color w:val="14302A"/>
          <w:sz w:val="23"/>
          <w:szCs w:val="23"/>
        </w:rPr>
        <w:t xml:space="preserve">‎[35] Dalakleidi et al. (2022)‎</w:t>
      </w:r>
    </w:p>
    <w:p>
      <w:pPr>
        <w:keepNext/>
        <w:spacing w:after="60" w:line="260"/>
      </w:pPr>
      <w:r>
        <w:rPr>
          <w:rFonts w:ascii="Calibri" w:cs="Arial" w:eastAsia="Calibri" w:hAnsi="Calibri"/>
          <w:color w:val="5F6E68"/>
          <w:sz w:val="18"/>
          <w:szCs w:val="18"/>
        </w:rPr>
        <w:t xml:space="preserve">‎Dalakleidi, K. V., Papadelli, M., Kapolos, I., &amp; Papadimitriou, K. (2022). Applying image-based food-recognition systems on dietary assessment: a systematic review. Advances in Nutrition, 13(6), 2590–2619. doi:10.1093/advances/nmac078‎</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مراجعة منهجية لأنظمة التعرف على الطعام من الصور المستخدمة في تقييم النظام الغذائي، رُوجعت فيها 78 دراسة بالكامل.</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dehsuhccgwj4xcpyfbgyl">
        <w:r>
          <w:rPr>
            <w:rStyle w:val="Hyperlink"/>
            <w:rFonts w:ascii="Calibri" w:cs="Arial" w:eastAsia="Calibri" w:hAnsi="Calibri"/>
          </w:rPr>
          <w:t xml:space="preserve">https://www.ncbi.nlm.nih.gov/pmc/articles/PMC9776640/</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PubMed Central)</w:t>
      </w:r>
    </w:p>
    <w:p>
      <w:pPr>
        <w:keepNext/>
        <w:spacing w:after="40" w:before="180"/>
      </w:pPr>
      <w:r>
        <w:rPr>
          <w:rFonts w:ascii="Calibri" w:cs="Arial" w:eastAsia="Calibri" w:hAnsi="Calibri"/>
          <w:b/>
          <w:bCs/>
          <w:color w:val="14302A"/>
          <w:sz w:val="23"/>
          <w:szCs w:val="23"/>
        </w:rPr>
        <w:t xml:space="preserve">‎[36] Ismail and Sahari (2024)‎</w:t>
      </w:r>
    </w:p>
    <w:p>
      <w:pPr>
        <w:keepNext/>
        <w:spacing w:after="60" w:line="260"/>
      </w:pPr>
      <w:r>
        <w:rPr>
          <w:rFonts w:ascii="Calibri" w:cs="Arial" w:eastAsia="Calibri" w:hAnsi="Calibri"/>
          <w:color w:val="5F6E68"/>
          <w:sz w:val="18"/>
          <w:szCs w:val="18"/>
        </w:rPr>
        <w:t xml:space="preserve">‎Ismail, M. L., &amp; Sahari, N. (2024). Real time energy monitoring &amp; current spikes detection system for enhanced energy conservation in residential area. Progress in Engineering Application and Technology, 5(1), 79–87. doi:10.30880/peat.2024.05.01.008‎</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جهاز </w:t>
      </w:r>
      <w:r>
        <w:rPr>
          <w:rFonts w:ascii="Calibri" w:cs="Arial" w:eastAsia="Calibri" w:hAnsi="Calibri"/>
        </w:rPr>
        <w:t xml:space="preserve">ESP32</w:t>
      </w:r>
      <w:r>
        <w:rPr>
          <w:rFonts w:ascii="Calibri" w:cs="Arial" w:eastAsia="Calibri" w:hAnsi="Calibri"/>
          <w:rtl/>
        </w:rPr>
        <w:t xml:space="preserve"> مع حساس جهد </w:t>
      </w:r>
      <w:r>
        <w:rPr>
          <w:rFonts w:ascii="Calibri" w:cs="Arial" w:eastAsia="Calibri" w:hAnsi="Calibri"/>
        </w:rPr>
        <w:t xml:space="preserve">ZMPT101B</w:t>
      </w:r>
      <w:r>
        <w:rPr>
          <w:rFonts w:ascii="Calibri" w:cs="Arial" w:eastAsia="Calibri" w:hAnsi="Calibri"/>
          <w:rtl/>
        </w:rPr>
        <w:t xml:space="preserve"> وحساس تيار </w:t>
      </w:r>
      <w:r>
        <w:rPr>
          <w:rFonts w:ascii="Calibri" w:cs="Arial" w:eastAsia="Calibri" w:hAnsi="Calibri"/>
        </w:rPr>
        <w:t xml:space="preserve">SCT-013-030</w:t>
      </w:r>
      <w:r>
        <w:rPr>
          <w:rFonts w:ascii="Calibri" w:cs="Arial" w:eastAsia="Calibri" w:hAnsi="Calibri"/>
          <w:rtl/>
        </w:rPr>
        <w:t xml:space="preserve"> يرسل البيانات إلى </w:t>
      </w:r>
      <w:r>
        <w:rPr>
          <w:rFonts w:ascii="Calibri" w:cs="Arial" w:eastAsia="Calibri" w:hAnsi="Calibri"/>
        </w:rPr>
        <w:t xml:space="preserve">ThingSpeak</w:t>
      </w:r>
      <w:r>
        <w:rPr>
          <w:rFonts w:ascii="Calibri" w:cs="Arial" w:eastAsia="Calibri" w:hAnsi="Calibri"/>
          <w:rtl/>
        </w:rPr>
        <w:t xml:space="preserve"> وتطبيق موبايل؛ يتابع الجهد والتيار والطاقة والفاتورة ويكتشف قفزات التيار، وأقصى خطأ فيه نحو 12.4%.</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lq73lbus7igzr09csknee">
        <w:r>
          <w:rPr>
            <w:rStyle w:val="Hyperlink"/>
            <w:rFonts w:ascii="Calibri" w:cs="Arial" w:eastAsia="Calibri" w:hAnsi="Calibri"/>
          </w:rPr>
          <w:t xml:space="preserve">https://penerbit.uthm.edu.my/periodicals/index.php/peat/article/view/14767</w:t>
        </w:r>
      </w:hyperlink>
      <w:r>
        <w:rPr>
          <w:rFonts w:ascii="Calibri" w:cs="Arial" w:eastAsia="Calibri" w:hAnsi="Calibri"/>
          <w:color w:val="5F6E68"/>
          <w:sz w:val="18"/>
          <w:szCs w:val="18"/>
          <w:rtl/>
        </w:rPr>
        <w:t xml:space="preserve"> · مفتوح المصدر (</w:t>
      </w:r>
      <w:r>
        <w:rPr>
          <w:rFonts w:ascii="Calibri" w:cs="Arial" w:eastAsia="Calibri" w:hAnsi="Calibri"/>
          <w:color w:val="5F6E68"/>
          <w:sz w:val="18"/>
          <w:szCs w:val="18"/>
        </w:rPr>
        <w:t xml:space="preserve">Open access)</w:t>
      </w:r>
    </w:p>
    <w:p>
      <w:pPr>
        <w:keepNext/>
        <w:spacing w:after="40" w:before="180"/>
      </w:pPr>
      <w:r>
        <w:rPr>
          <w:rFonts w:ascii="Calibri" w:cs="Arial" w:eastAsia="Calibri" w:hAnsi="Calibri"/>
          <w:b/>
          <w:bCs/>
          <w:color w:val="14302A"/>
          <w:sz w:val="23"/>
          <w:szCs w:val="23"/>
        </w:rPr>
        <w:t xml:space="preserve">‎[37] Miller et al. (2020)‎</w:t>
      </w:r>
    </w:p>
    <w:p>
      <w:pPr>
        <w:keepNext/>
        <w:spacing w:after="60" w:line="260"/>
      </w:pPr>
      <w:r>
        <w:rPr>
          <w:rFonts w:ascii="Calibri" w:cs="Arial" w:eastAsia="Calibri" w:hAnsi="Calibri"/>
          <w:color w:val="5F6E68"/>
          <w:sz w:val="18"/>
          <w:szCs w:val="18"/>
        </w:rPr>
        <w:t xml:space="preserve">‎Miller, C., et al. (2020). The ASHRAE Great Energy Predictor III competition: overview and results. Science and Technology for the Built Environment, 26(10). doi:10.1080/23744731.2020.1795514‎</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عرض لمسابقة كبيرة لتوقع استهلاك عدادات الطاقة بالساعة في مبانٍ غير سكنية؛ الحلول الفائزة اعتمدت على </w:t>
      </w:r>
      <w:r>
        <w:rPr>
          <w:rFonts w:ascii="Calibri" w:cs="Arial" w:eastAsia="Calibri" w:hAnsi="Calibri"/>
        </w:rPr>
        <w:t xml:space="preserve">Gradient Boosting</w:t>
      </w:r>
      <w:r>
        <w:rPr>
          <w:rFonts w:ascii="Calibri" w:cs="Arial" w:eastAsia="Calibri" w:hAnsi="Calibri"/>
          <w:rtl/>
        </w:rPr>
        <w:t xml:space="preserve"> مع معالجة مسبقة دقيقة للبيانات.</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lurklfoozfbw7w6qgs0bp">
        <w:r>
          <w:rPr>
            <w:rStyle w:val="Hyperlink"/>
            <w:rFonts w:ascii="Calibri" w:cs="Arial" w:eastAsia="Calibri" w:hAnsi="Calibri"/>
          </w:rPr>
          <w:t xml:space="preserve">https://arxiv.org/abs/2007.06933</w:t>
        </w:r>
      </w:hyperlink>
      <w:r>
        <w:rPr>
          <w:rFonts w:ascii="Calibri" w:cs="Arial" w:eastAsia="Calibri" w:hAnsi="Calibri"/>
          <w:color w:val="5F6E68"/>
          <w:sz w:val="18"/>
          <w:szCs w:val="18"/>
          <w:rtl/>
        </w:rPr>
        <w:t xml:space="preserve"> · مجاني على </w:t>
      </w:r>
      <w:r>
        <w:rPr>
          <w:rFonts w:ascii="Calibri" w:cs="Arial" w:eastAsia="Calibri" w:hAnsi="Calibri"/>
          <w:color w:val="5F6E68"/>
          <w:sz w:val="18"/>
          <w:szCs w:val="18"/>
        </w:rPr>
        <w:t xml:space="preserve">arXiv</w:t>
      </w:r>
    </w:p>
    <w:p>
      <w:pPr>
        <w:keepNext/>
        <w:spacing w:after="40" w:before="180"/>
      </w:pPr>
      <w:r>
        <w:rPr>
          <w:rFonts w:ascii="Calibri" w:cs="Arial" w:eastAsia="Calibri" w:hAnsi="Calibri"/>
          <w:b/>
          <w:bCs/>
          <w:color w:val="14302A"/>
          <w:sz w:val="23"/>
          <w:szCs w:val="23"/>
        </w:rPr>
        <w:t xml:space="preserve">‎[38] Anand et al. (2021)‎</w:t>
      </w:r>
    </w:p>
    <w:p>
      <w:pPr>
        <w:keepNext/>
        <w:spacing w:after="60" w:line="260"/>
      </w:pPr>
      <w:r>
        <w:rPr>
          <w:rFonts w:ascii="Calibri" w:cs="Arial" w:eastAsia="Calibri" w:hAnsi="Calibri"/>
          <w:color w:val="5F6E68"/>
          <w:sz w:val="18"/>
          <w:szCs w:val="18"/>
        </w:rPr>
        <w:t xml:space="preserve">‎Anand, P., Deb, C., Yang, K., Yang, J., Cheong, D., &amp; Sekhar, C. (2021). Occupancy-based energy consumption modelling using machine learning algorithms for institutional buildings. Energy and Buildings, 111478. doi:10.1016/j.enbuild.2021.111478‎</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يربط الاستهلاك بالإشغال في ثمانية أنواع من المساحات داخل ثلاثة مبانٍ مؤسسية؛ العلاقة بين الإشغال والطاقة تختلف حسب المساحة والوقت، والشبكة العميقة أدق قليلًا بينما </w:t>
      </w:r>
      <w:r>
        <w:rPr>
          <w:rFonts w:ascii="Calibri" w:cs="Arial" w:eastAsia="Calibri" w:hAnsi="Calibri"/>
        </w:rPr>
        <w:t xml:space="preserve">Gradient Boosting</w:t>
      </w:r>
      <w:r>
        <w:rPr>
          <w:rFonts w:ascii="Calibri" w:cs="Arial" w:eastAsia="Calibri" w:hAnsi="Calibri"/>
          <w:rtl/>
        </w:rPr>
        <w:t xml:space="preserve"> أسرع بكثير.</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46yr-kqizj7nbpe1brtm4">
        <w:r>
          <w:rPr>
            <w:rStyle w:val="Hyperlink"/>
            <w:rFonts w:ascii="Calibri" w:cs="Arial" w:eastAsia="Calibri" w:hAnsi="Calibri"/>
          </w:rPr>
          <w:t xml:space="preserve">https://doi.org/10.1016/j.enbuild.2021.111478</w:t>
        </w:r>
      </w:hyperlink>
      <w:r>
        <w:rPr>
          <w:rFonts w:ascii="Calibri" w:cs="Arial" w:eastAsia="Calibri" w:hAnsi="Calibri"/>
          <w:color w:val="5F6E68"/>
          <w:sz w:val="18"/>
          <w:szCs w:val="18"/>
          <w:rtl/>
        </w:rPr>
        <w:t xml:space="preserve"> · سجل على مستودع </w:t>
      </w:r>
      <w:r>
        <w:rPr>
          <w:rFonts w:ascii="Calibri" w:cs="Arial" w:eastAsia="Calibri" w:hAnsi="Calibri"/>
          <w:color w:val="5F6E68"/>
          <w:sz w:val="18"/>
          <w:szCs w:val="18"/>
        </w:rPr>
        <w:t xml:space="preserve">ETH Zurich: research-collection.ethz.ch</w:t>
      </w:r>
    </w:p>
    <w:p>
      <w:pPr>
        <w:keepNext/>
        <w:spacing w:after="40" w:before="180"/>
      </w:pPr>
      <w:r>
        <w:rPr>
          <w:rFonts w:ascii="Calibri" w:cs="Arial" w:eastAsia="Calibri" w:hAnsi="Calibri"/>
          <w:b/>
          <w:bCs/>
          <w:color w:val="14302A"/>
          <w:sz w:val="23"/>
          <w:szCs w:val="23"/>
        </w:rPr>
        <w:t xml:space="preserve">‎[39] Himeur et al. (2021)‎</w:t>
      </w:r>
    </w:p>
    <w:p>
      <w:pPr>
        <w:keepNext/>
        <w:spacing w:after="60" w:line="260"/>
      </w:pPr>
      <w:r>
        <w:rPr>
          <w:rFonts w:ascii="Calibri" w:cs="Arial" w:eastAsia="Calibri" w:hAnsi="Calibri"/>
          <w:color w:val="5F6E68"/>
          <w:sz w:val="18"/>
          <w:szCs w:val="18"/>
        </w:rPr>
        <w:t xml:space="preserve">‎Himeur, Y., Ghanem, K., Alsalemi, A., Bensaali, F., &amp; Amira, A. (2021). Artificial intelligence based anomaly detection of energy consumption in buildings: a review, current trends and new perspectives. Applied Energy, 287, 116601. doi:10.1016/j.apenergy.2021.116601‎</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مراجعة وتصنيف لطرق الذكاء الاصطناعي لاكتشاف الاستهلاك غير الطبيعي للطاقة في المباني، حسب الخوارزمية والخصائص ومستوى الاكتشاف ومنصة الحوسبة والتطبيق.</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4fzncufxnblftzu64bbj3">
        <w:r>
          <w:rPr>
            <w:rStyle w:val="Hyperlink"/>
            <w:rFonts w:ascii="Calibri" w:cs="Arial" w:eastAsia="Calibri" w:hAnsi="Calibri"/>
          </w:rPr>
          <w:t xml:space="preserve">https://arxiv.org/abs/2010.04560</w:t>
        </w:r>
      </w:hyperlink>
      <w:r>
        <w:rPr>
          <w:rFonts w:ascii="Calibri" w:cs="Arial" w:eastAsia="Calibri" w:hAnsi="Calibri"/>
          <w:color w:val="5F6E68"/>
          <w:sz w:val="18"/>
          <w:szCs w:val="18"/>
          <w:rtl/>
        </w:rPr>
        <w:t xml:space="preserve"> · نسخة مجانية على </w:t>
      </w:r>
      <w:r>
        <w:rPr>
          <w:rFonts w:ascii="Calibri" w:cs="Arial" w:eastAsia="Calibri" w:hAnsi="Calibri"/>
          <w:color w:val="5F6E68"/>
          <w:sz w:val="18"/>
          <w:szCs w:val="18"/>
        </w:rPr>
        <w:t xml:space="preserve">arXiv</w:t>
      </w:r>
    </w:p>
    <w:p>
      <w:pPr>
        <w:keepNext/>
        <w:spacing w:after="40" w:before="180"/>
      </w:pPr>
      <w:r>
        <w:rPr>
          <w:rFonts w:ascii="Calibri" w:cs="Arial" w:eastAsia="Calibri" w:hAnsi="Calibri"/>
          <w:b/>
          <w:bCs/>
          <w:color w:val="14302A"/>
          <w:sz w:val="23"/>
          <w:szCs w:val="23"/>
        </w:rPr>
        <w:t xml:space="preserve">‎[40] Azad, Rajabi and Estebsari (2023)‎</w:t>
      </w:r>
    </w:p>
    <w:p>
      <w:pPr>
        <w:keepNext/>
        <w:spacing w:after="60" w:line="260"/>
      </w:pPr>
      <w:r>
        <w:rPr>
          <w:rFonts w:ascii="Calibri" w:cs="Arial" w:eastAsia="Calibri" w:hAnsi="Calibri"/>
          <w:color w:val="5F6E68"/>
          <w:sz w:val="18"/>
          <w:szCs w:val="18"/>
        </w:rPr>
        <w:t xml:space="preserve">‎Azad, Rajabi and Estebsari (2023). Non-intrusive load monitoring (NILM) using deep neural networks: a review. arXiv:2306.05017‎</w:t>
      </w:r>
    </w:p>
    <w:p>
      <w:pPr>
        <w:bidi/>
        <w:spacing w:after="40" w:line="290"/>
      </w:pPr>
      <w:r>
        <w:rPr>
          <w:rFonts w:ascii="Calibri" w:cs="Arial" w:eastAsia="Calibri" w:hAnsi="Calibri"/>
          <w:b/>
          <w:bCs/>
          <w:color w:val="14302A"/>
          <w:rtl/>
        </w:rPr>
        <w:t xml:space="preserve">الملخص:</w:t>
      </w:r>
      <w:r>
        <w:rPr>
          <w:rFonts w:ascii="Calibri" w:cs="Arial" w:eastAsia="Calibri" w:hAnsi="Calibri"/>
          <w:rtl/>
        </w:rPr>
        <w:t xml:space="preserve"> مراجعة لأساليب الشبكات العصبية العميقة في </w:t>
      </w:r>
      <w:r>
        <w:rPr>
          <w:rFonts w:ascii="Calibri" w:cs="Arial" w:eastAsia="Calibri" w:hAnsi="Calibri"/>
        </w:rPr>
        <w:t xml:space="preserve">NILM</w:t>
      </w:r>
      <w:r>
        <w:rPr>
          <w:rFonts w:ascii="Calibri" w:cs="Arial" w:eastAsia="Calibri" w:hAnsi="Calibri"/>
          <w:rtl/>
        </w:rPr>
        <w:t xml:space="preserve"> والبيانات العامة المستخدمة لتدريبها.</w:t>
      </w:r>
    </w:p>
    <w:p>
      <w:pPr>
        <w:bidi/>
        <w:spacing w:after="120"/>
      </w:pPr>
      <w:r>
        <w:rPr>
          <w:rFonts w:ascii="Calibri" w:cs="Arial" w:eastAsia="Calibri" w:hAnsi="Calibri"/>
          <w:b/>
          <w:bCs/>
          <w:color w:val="14302A"/>
          <w:rtl/>
        </w:rPr>
        <w:t xml:space="preserve">الرابط:</w:t>
      </w:r>
      <w:r>
        <w:rPr>
          <w:rFonts w:ascii="Calibri" w:cs="Arial" w:eastAsia="Calibri" w:hAnsi="Calibri"/>
          <w:rtl/>
        </w:rPr>
        <w:t xml:space="preserve"> </w:t>
      </w:r>
      <w:hyperlink w:history="1" r:id="rId5a8hkqgbkctaboswww9dv">
        <w:r>
          <w:rPr>
            <w:rStyle w:val="Hyperlink"/>
            <w:rFonts w:ascii="Calibri" w:cs="Arial" w:eastAsia="Calibri" w:hAnsi="Calibri"/>
          </w:rPr>
          <w:t xml:space="preserve">https://arxiv.org/abs/2306.05017</w:t>
        </w:r>
      </w:hyperlink>
      <w:r>
        <w:rPr>
          <w:rFonts w:ascii="Calibri" w:cs="Arial" w:eastAsia="Calibri" w:hAnsi="Calibri"/>
          <w:color w:val="5F6E68"/>
          <w:sz w:val="18"/>
          <w:szCs w:val="18"/>
          <w:rtl/>
        </w:rPr>
        <w:t xml:space="preserve"> · مجاني على </w:t>
      </w:r>
      <w:r>
        <w:rPr>
          <w:rFonts w:ascii="Calibri" w:cs="Arial" w:eastAsia="Calibri" w:hAnsi="Calibri"/>
          <w:color w:val="5F6E68"/>
          <w:sz w:val="18"/>
          <w:szCs w:val="18"/>
        </w:rPr>
        <w:t xml:space="preserve">arXiv</w:t>
      </w:r>
    </w:p>
    <w:p>
      <w:pPr>
        <w:pStyle w:val="Heading1"/>
        <w:pageBreakBefore/>
        <w:bidi/>
      </w:pPr>
      <w:r>
        <w:rPr>
          <w:rFonts w:ascii="Calibri" w:cs="Arial" w:eastAsia="Calibri" w:hAnsi="Calibri"/>
          <w:rtl/>
        </w:rPr>
        <w:t xml:space="preserve">المراجع</w:t>
      </w:r>
    </w:p>
    <w:p>
      <w:pPr>
        <w:tabs>
          <w:tab w:val="left" w:pos="560"/>
        </w:tabs>
        <w:spacing w:after="100" w:line="264"/>
        <w:ind w:left="560" w:hanging="560"/>
      </w:pPr>
      <w:r>
        <w:rPr>
          <w:rFonts w:ascii="Calibri" w:cs="Arial" w:eastAsia="Calibri" w:hAnsi="Calibri"/>
          <w:sz w:val="19"/>
          <w:szCs w:val="19"/>
        </w:rPr>
        <w:t xml:space="preserve">‎[1]	‎</w:t>
      </w:r>
      <w:r>
        <w:rPr>
          <w:rFonts w:ascii="Calibri" w:cs="Arial" w:eastAsia="Calibri" w:hAnsi="Calibri"/>
          <w:sz w:val="19"/>
          <w:szCs w:val="19"/>
        </w:rPr>
        <w:t xml:space="preserve">‎Valls-Val, K., &amp; Bovea, M. D. (2021). Carbon footprint in higher education institutions: a literature review and prospects for future research. Clean Technologies and Environmental Policy, 23, 2523–2542. doi:10.1007/s10098-021-02180-2 ‎</w:t>
      </w:r>
      <w:hyperlink w:history="1" r:id="rIdqrqcpz8llpmduxzuuuu_c">
        <w:r>
          <w:rPr>
            <w:rStyle w:val="Hyperlink"/>
            <w:rFonts w:ascii="Calibri" w:cs="Arial" w:eastAsia="Calibri" w:hAnsi="Calibri"/>
          </w:rPr>
          <w:t xml:space="preserve">https://doi.org/10.1007/s10098-021-02180-2</w:t>
        </w:r>
      </w:hyperlink>
    </w:p>
    <w:p>
      <w:pPr>
        <w:tabs>
          <w:tab w:val="left" w:pos="560"/>
        </w:tabs>
        <w:spacing w:after="100" w:line="264"/>
        <w:ind w:left="560" w:hanging="560"/>
      </w:pPr>
      <w:r>
        <w:rPr>
          <w:rFonts w:ascii="Calibri" w:cs="Arial" w:eastAsia="Calibri" w:hAnsi="Calibri"/>
          <w:sz w:val="19"/>
          <w:szCs w:val="19"/>
        </w:rPr>
        <w:t xml:space="preserve">‎[2]	‎</w:t>
      </w:r>
      <w:r>
        <w:rPr>
          <w:rFonts w:ascii="Calibri" w:cs="Arial" w:eastAsia="Calibri" w:hAnsi="Calibri"/>
          <w:sz w:val="19"/>
          <w:szCs w:val="19"/>
        </w:rPr>
        <w:t xml:space="preserve">‎Li, Z., Chen, Z., Yang, N., Wei, K., Ling, Z., Liu, Q., Chen, G., &amp; Ye, B. H. (2021). Trends in research on the carbon footprint of higher education: a bibliometric analysis (2010–2019). Journal of Cleaner Production, 289, 125642. doi:10.1016/j.jclepro.2020.125642 ‎</w:t>
      </w:r>
      <w:hyperlink w:history="1" r:id="rIdhszzs3kax1bohxiluk-ly">
        <w:r>
          <w:rPr>
            <w:rStyle w:val="Hyperlink"/>
            <w:rFonts w:ascii="Calibri" w:cs="Arial" w:eastAsia="Calibri" w:hAnsi="Calibri"/>
          </w:rPr>
          <w:t xml:space="preserve">https://doi.org/10.1016/j.jclepro.2020.125642</w:t>
        </w:r>
      </w:hyperlink>
    </w:p>
    <w:p>
      <w:pPr>
        <w:tabs>
          <w:tab w:val="left" w:pos="560"/>
        </w:tabs>
        <w:spacing w:after="100" w:line="264"/>
        <w:ind w:left="560" w:hanging="560"/>
      </w:pPr>
      <w:r>
        <w:rPr>
          <w:rFonts w:ascii="Calibri" w:cs="Arial" w:eastAsia="Calibri" w:hAnsi="Calibri"/>
          <w:sz w:val="19"/>
          <w:szCs w:val="19"/>
        </w:rPr>
        <w:t xml:space="preserve">‎[3]	‎</w:t>
      </w:r>
      <w:r>
        <w:rPr>
          <w:rFonts w:ascii="Calibri" w:cs="Arial" w:eastAsia="Calibri" w:hAnsi="Calibri"/>
          <w:sz w:val="19"/>
          <w:szCs w:val="19"/>
        </w:rPr>
        <w:t xml:space="preserve">‎Helmers, E., Chang, C. C., &amp; Dauwels, J. (2021). Carbon footprinting of universities worldwide: Part I—objective comparison by standardized metrics. Environmental Sciences Europe, 33, 30. doi:10.1186/s12302-021-00454-6 ‎</w:t>
      </w:r>
      <w:hyperlink w:history="1" r:id="rIdhjiqpua91qucole2q-wkz">
        <w:r>
          <w:rPr>
            <w:rStyle w:val="Hyperlink"/>
            <w:rFonts w:ascii="Calibri" w:cs="Arial" w:eastAsia="Calibri" w:hAnsi="Calibri"/>
          </w:rPr>
          <w:t xml:space="preserve">https://doi.org/10.1186/s12302-021-00454-6</w:t>
        </w:r>
      </w:hyperlink>
    </w:p>
    <w:p>
      <w:pPr>
        <w:tabs>
          <w:tab w:val="left" w:pos="560"/>
        </w:tabs>
        <w:spacing w:after="100" w:line="264"/>
        <w:ind w:left="560" w:hanging="560"/>
      </w:pPr>
      <w:r>
        <w:rPr>
          <w:rFonts w:ascii="Calibri" w:cs="Arial" w:eastAsia="Calibri" w:hAnsi="Calibri"/>
          <w:sz w:val="19"/>
          <w:szCs w:val="19"/>
        </w:rPr>
        <w:t xml:space="preserve">‎[4]	‎</w:t>
      </w:r>
      <w:r>
        <w:rPr>
          <w:rFonts w:ascii="Calibri" w:cs="Arial" w:eastAsia="Calibri" w:hAnsi="Calibri"/>
          <w:sz w:val="19"/>
          <w:szCs w:val="19"/>
        </w:rPr>
        <w:t xml:space="preserve">‎Valls-Val, K., &amp; Bovea, M. D. (2022). Carbon footprint assessment tool for universities: CO2UNV. Sustainable Production and Consumption, 29, 791–804. doi:10.1016/j.spc.2021.11.020 ‎</w:t>
      </w:r>
      <w:hyperlink w:history="1" r:id="rId9gxzg3neibauq0j3g55my">
        <w:r>
          <w:rPr>
            <w:rStyle w:val="Hyperlink"/>
            <w:rFonts w:ascii="Calibri" w:cs="Arial" w:eastAsia="Calibri" w:hAnsi="Calibri"/>
          </w:rPr>
          <w:t xml:space="preserve">https://doi.org/10.1016/j.spc.2021.11.020</w:t>
        </w:r>
      </w:hyperlink>
    </w:p>
    <w:p>
      <w:pPr>
        <w:tabs>
          <w:tab w:val="left" w:pos="560"/>
        </w:tabs>
        <w:spacing w:after="100" w:line="264"/>
        <w:ind w:left="560" w:hanging="560"/>
      </w:pPr>
      <w:r>
        <w:rPr>
          <w:rFonts w:ascii="Calibri" w:cs="Arial" w:eastAsia="Calibri" w:hAnsi="Calibri"/>
          <w:sz w:val="19"/>
          <w:szCs w:val="19"/>
        </w:rPr>
        <w:t xml:space="preserve">‎[5]	‎</w:t>
      </w:r>
      <w:r>
        <w:rPr>
          <w:rFonts w:ascii="Calibri" w:cs="Arial" w:eastAsia="Calibri" w:hAnsi="Calibri"/>
          <w:sz w:val="19"/>
          <w:szCs w:val="19"/>
        </w:rPr>
        <w:t xml:space="preserve">‎Guerrero-Lucendo, A., García-Orenes, F., Navarro-Pedreño, J., &amp; Alba-Hidalgo, D. (2022). General mapping of the environmental performance in climate change mitigation of Spanish universities through a standardized carbon footprint calculation tool. International Journal of Environmental Research and Public Health, 19(17), 10964. doi:10.3390/ijerph191710964 ‎</w:t>
      </w:r>
      <w:hyperlink w:history="1" r:id="rIdkb6lbolopf5kdxng_hwai">
        <w:r>
          <w:rPr>
            <w:rStyle w:val="Hyperlink"/>
            <w:rFonts w:ascii="Calibri" w:cs="Arial" w:eastAsia="Calibri" w:hAnsi="Calibri"/>
          </w:rPr>
          <w:t xml:space="preserve">https://doi.org/10.3390/ijerph191710964</w:t>
        </w:r>
      </w:hyperlink>
    </w:p>
    <w:p>
      <w:pPr>
        <w:tabs>
          <w:tab w:val="left" w:pos="560"/>
        </w:tabs>
        <w:spacing w:after="100" w:line="264"/>
        <w:ind w:left="560" w:hanging="560"/>
      </w:pPr>
      <w:r>
        <w:rPr>
          <w:rFonts w:ascii="Calibri" w:cs="Arial" w:eastAsia="Calibri" w:hAnsi="Calibri"/>
          <w:sz w:val="19"/>
          <w:szCs w:val="19"/>
        </w:rPr>
        <w:t xml:space="preserve">‎[6]	‎</w:t>
      </w:r>
      <w:r>
        <w:rPr>
          <w:rFonts w:ascii="Calibri" w:cs="Arial" w:eastAsia="Calibri" w:hAnsi="Calibri"/>
          <w:sz w:val="19"/>
          <w:szCs w:val="19"/>
        </w:rPr>
        <w:t xml:space="preserve">‎Herth, A., &amp; Blok, K. (2023). Quantifying universities’ direct and indirect carbon emissions: the case of Delft University of Technology. International Journal of Sustainability in Higher Education, 24(9). doi:10.1108/IJSHE-04-2022-0121 ‎</w:t>
      </w:r>
      <w:hyperlink w:history="1" r:id="rIdtvothl4o5gsvw6skaukl1">
        <w:r>
          <w:rPr>
            <w:rStyle w:val="Hyperlink"/>
            <w:rFonts w:ascii="Calibri" w:cs="Arial" w:eastAsia="Calibri" w:hAnsi="Calibri"/>
          </w:rPr>
          <w:t xml:space="preserve">https://doi.org/10.1108/IJSHE-04-2022-0121</w:t>
        </w:r>
      </w:hyperlink>
    </w:p>
    <w:p>
      <w:pPr>
        <w:tabs>
          <w:tab w:val="left" w:pos="560"/>
        </w:tabs>
        <w:spacing w:after="100" w:line="264"/>
        <w:ind w:left="560" w:hanging="560"/>
      </w:pPr>
      <w:r>
        <w:rPr>
          <w:rFonts w:ascii="Calibri" w:cs="Arial" w:eastAsia="Calibri" w:hAnsi="Calibri"/>
          <w:sz w:val="19"/>
          <w:szCs w:val="19"/>
        </w:rPr>
        <w:t xml:space="preserve">‎[7]	‎</w:t>
      </w:r>
      <w:r>
        <w:rPr>
          <w:rFonts w:ascii="Calibri" w:cs="Arial" w:eastAsia="Calibri" w:hAnsi="Calibri"/>
          <w:sz w:val="19"/>
          <w:szCs w:val="19"/>
        </w:rPr>
        <w:t xml:space="preserve">‎Kiehle, J., Kopsakangas-Savolainen, M., Hilli, M., &amp; Pongrácz, E. (2023). Carbon footprint at institutions of higher education: the case of the University of Oulu. Journal of Environmental Management, 329, 117056. doi:10.1016/j.jenvman.2022.117056 ‎</w:t>
      </w:r>
      <w:hyperlink w:history="1" r:id="rIdmrbckc2fjby7mt2ih9fel">
        <w:r>
          <w:rPr>
            <w:rStyle w:val="Hyperlink"/>
            <w:rFonts w:ascii="Calibri" w:cs="Arial" w:eastAsia="Calibri" w:hAnsi="Calibri"/>
          </w:rPr>
          <w:t xml:space="preserve">https://doi.org/10.1016/j.jenvman.2022.117056</w:t>
        </w:r>
      </w:hyperlink>
    </w:p>
    <w:p>
      <w:pPr>
        <w:tabs>
          <w:tab w:val="left" w:pos="560"/>
        </w:tabs>
        <w:spacing w:after="100" w:line="264"/>
        <w:ind w:left="560" w:hanging="560"/>
      </w:pPr>
      <w:r>
        <w:rPr>
          <w:rFonts w:ascii="Calibri" w:cs="Arial" w:eastAsia="Calibri" w:hAnsi="Calibri"/>
          <w:sz w:val="19"/>
          <w:szCs w:val="19"/>
        </w:rPr>
        <w:t xml:space="preserve">‎[8]	‎</w:t>
      </w:r>
      <w:r>
        <w:rPr>
          <w:rFonts w:ascii="Calibri" w:cs="Arial" w:eastAsia="Calibri" w:hAnsi="Calibri"/>
          <w:sz w:val="19"/>
          <w:szCs w:val="19"/>
        </w:rPr>
        <w:t xml:space="preserve">‎Deda, D., Gervásio, H., &amp; Quina, M. J. (2025). Advancing carbon footprint in higher education: an integrated assessment model. The International Journal of Life Cycle Assessment. doi:10.1007/s11367-025-02514-y ‎</w:t>
      </w:r>
      <w:hyperlink w:history="1" r:id="rIdbflwtdbu6pq6iya4wxpmt">
        <w:r>
          <w:rPr>
            <w:rStyle w:val="Hyperlink"/>
            <w:rFonts w:ascii="Calibri" w:cs="Arial" w:eastAsia="Calibri" w:hAnsi="Calibri"/>
          </w:rPr>
          <w:t xml:space="preserve">https://doi.org/10.1007/s11367-025-02514-y</w:t>
        </w:r>
      </w:hyperlink>
    </w:p>
    <w:p>
      <w:pPr>
        <w:tabs>
          <w:tab w:val="left" w:pos="560"/>
        </w:tabs>
        <w:spacing w:after="100" w:line="264"/>
        <w:ind w:left="560" w:hanging="560"/>
      </w:pPr>
      <w:r>
        <w:rPr>
          <w:rFonts w:ascii="Calibri" w:cs="Arial" w:eastAsia="Calibri" w:hAnsi="Calibri"/>
          <w:sz w:val="19"/>
          <w:szCs w:val="19"/>
        </w:rPr>
        <w:t xml:space="preserve">‎[9]	‎</w:t>
      </w:r>
      <w:r>
        <w:rPr>
          <w:rFonts w:ascii="Calibri" w:cs="Arial" w:eastAsia="Calibri" w:hAnsi="Calibri"/>
          <w:sz w:val="19"/>
          <w:szCs w:val="19"/>
        </w:rPr>
        <w:t xml:space="preserve">‎Abdelbasier, A. M., Kamel, M. M., Donia, N. S., &amp; Nawar, H. A. (2022). Carbon footprint monitoring and mitigation in higher education: a meta-analysis review. Journal of Environmental Sciences (Ain Shams University), 51(11). ‎</w:t>
      </w:r>
      <w:hyperlink w:history="1" r:id="rIdppbc4fyk-otk4pzkommsc">
        <w:r>
          <w:rPr>
            <w:rStyle w:val="Hyperlink"/>
            <w:rFonts w:ascii="Calibri" w:cs="Arial" w:eastAsia="Calibri" w:hAnsi="Calibri"/>
          </w:rPr>
          <w:t xml:space="preserve">https://jes.journals.ekb.eg/article_295030.html</w:t>
        </w:r>
      </w:hyperlink>
    </w:p>
    <w:p>
      <w:pPr>
        <w:tabs>
          <w:tab w:val="left" w:pos="560"/>
        </w:tabs>
        <w:spacing w:after="100" w:line="264"/>
        <w:ind w:left="560" w:hanging="560"/>
      </w:pPr>
      <w:r>
        <w:rPr>
          <w:rFonts w:ascii="Calibri" w:cs="Arial" w:eastAsia="Calibri" w:hAnsi="Calibri"/>
          <w:sz w:val="19"/>
          <w:szCs w:val="19"/>
        </w:rPr>
        <w:t xml:space="preserve">‎[10]	‎</w:t>
      </w:r>
      <w:r>
        <w:rPr>
          <w:rFonts w:ascii="Calibri" w:cs="Arial" w:eastAsia="Calibri" w:hAnsi="Calibri"/>
          <w:sz w:val="19"/>
          <w:szCs w:val="19"/>
        </w:rPr>
        <w:t xml:space="preserve">‎Yañez, P., Sinha, A., &amp; Vásquez, M. (2020). Carbon footprint estimation in a university campus: evaluation and insights. Sustainability, 12(1), 181. doi:10.3390/su12010181 ‎</w:t>
      </w:r>
      <w:hyperlink w:history="1" r:id="rIdoju4mbwgbt87aecm3ik9i">
        <w:r>
          <w:rPr>
            <w:rStyle w:val="Hyperlink"/>
            <w:rFonts w:ascii="Calibri" w:cs="Arial" w:eastAsia="Calibri" w:hAnsi="Calibri"/>
          </w:rPr>
          <w:t xml:space="preserve">https://doi.org/10.3390/su12010181</w:t>
        </w:r>
      </w:hyperlink>
    </w:p>
    <w:p>
      <w:pPr>
        <w:tabs>
          <w:tab w:val="left" w:pos="560"/>
        </w:tabs>
        <w:spacing w:after="100" w:line="264"/>
        <w:ind w:left="560" w:hanging="560"/>
      </w:pPr>
      <w:r>
        <w:rPr>
          <w:rFonts w:ascii="Calibri" w:cs="Arial" w:eastAsia="Calibri" w:hAnsi="Calibri"/>
          <w:sz w:val="19"/>
          <w:szCs w:val="19"/>
        </w:rPr>
        <w:t xml:space="preserve">‎[11]	‎</w:t>
      </w:r>
      <w:r>
        <w:rPr>
          <w:rFonts w:ascii="Calibri" w:cs="Arial" w:eastAsia="Calibri" w:hAnsi="Calibri"/>
          <w:sz w:val="19"/>
          <w:szCs w:val="19"/>
        </w:rPr>
        <w:t xml:space="preserve">‎Clabeaux, R., Carbajales-Dale, M., Ladner, D., &amp; Walker, T. (2020). Assessing the carbon footprint of a university campus using a life cycle assessment approach. Journal of Cleaner Production, 273, 122600. doi:10.1016/j.jclepro.2020.122600 ‎</w:t>
      </w:r>
      <w:hyperlink w:history="1" r:id="rIdvpsaedocrlcw-x20wxurv">
        <w:r>
          <w:rPr>
            <w:rStyle w:val="Hyperlink"/>
            <w:rFonts w:ascii="Calibri" w:cs="Arial" w:eastAsia="Calibri" w:hAnsi="Calibri"/>
          </w:rPr>
          <w:t xml:space="preserve">https://cecas.clemson.edu/ladnergroup/blog/wp-content/uploads/2020/07/Clabeaux-et-al-2020-CO2-Footprint-Journal-Cleaner-Production.pdf</w:t>
        </w:r>
      </w:hyperlink>
    </w:p>
    <w:p>
      <w:pPr>
        <w:tabs>
          <w:tab w:val="left" w:pos="560"/>
        </w:tabs>
        <w:spacing w:after="100" w:line="264"/>
        <w:ind w:left="560" w:hanging="560"/>
      </w:pPr>
      <w:r>
        <w:rPr>
          <w:rFonts w:ascii="Calibri" w:cs="Arial" w:eastAsia="Calibri" w:hAnsi="Calibri"/>
          <w:sz w:val="19"/>
          <w:szCs w:val="19"/>
        </w:rPr>
        <w:t xml:space="preserve">‎[12]	‎</w:t>
      </w:r>
      <w:r>
        <w:rPr>
          <w:rFonts w:ascii="Calibri" w:cs="Arial" w:eastAsia="Calibri" w:hAnsi="Calibri"/>
          <w:sz w:val="19"/>
          <w:szCs w:val="19"/>
        </w:rPr>
        <w:t xml:space="preserve">‎Filimonau, V., Archer, D., Bellamy, L., Smith, N., &amp; Wintrip, R. (2021). The carbon footprint of a UK University during the COVID-19 lockdown. Science of the Total Environment, 756, 143964. doi:10.1016/j.scitotenv.2020.143964 ‎</w:t>
      </w:r>
      <w:hyperlink w:history="1" r:id="rId44pp6ddqgwt0hy9vzk0q2">
        <w:r>
          <w:rPr>
            <w:rStyle w:val="Hyperlink"/>
            <w:rFonts w:ascii="Calibri" w:cs="Arial" w:eastAsia="Calibri" w:hAnsi="Calibri"/>
          </w:rPr>
          <w:t xml:space="preserve">https://eprints.bournemouth.ac.uk/34947/</w:t>
        </w:r>
      </w:hyperlink>
    </w:p>
    <w:p>
      <w:pPr>
        <w:tabs>
          <w:tab w:val="left" w:pos="560"/>
        </w:tabs>
        <w:spacing w:after="100" w:line="264"/>
        <w:ind w:left="560" w:hanging="560"/>
      </w:pPr>
      <w:r>
        <w:rPr>
          <w:rFonts w:ascii="Calibri" w:cs="Arial" w:eastAsia="Calibri" w:hAnsi="Calibri"/>
          <w:sz w:val="19"/>
          <w:szCs w:val="19"/>
        </w:rPr>
        <w:t xml:space="preserve">‎[13]	‎</w:t>
      </w:r>
      <w:r>
        <w:rPr>
          <w:rFonts w:ascii="Calibri" w:cs="Arial" w:eastAsia="Calibri" w:hAnsi="Calibri"/>
          <w:sz w:val="19"/>
          <w:szCs w:val="19"/>
        </w:rPr>
        <w:t xml:space="preserve">‎Mustafa, A., Kazmi, M., Khan, H. R., Qazi, S. A., &amp; Lodi, S. H. (2022). Towards a carbon neutral and sustainable campus: case study of NED University of Engineering and Technology. Sustainability, 14(2), 794. doi:10.3390/su14020794 ‎</w:t>
      </w:r>
      <w:hyperlink w:history="1" r:id="rId0dbbe-iecmhwkuc1aaxgi">
        <w:r>
          <w:rPr>
            <w:rStyle w:val="Hyperlink"/>
            <w:rFonts w:ascii="Calibri" w:cs="Arial" w:eastAsia="Calibri" w:hAnsi="Calibri"/>
          </w:rPr>
          <w:t xml:space="preserve">https://doi.org/10.3390/su14020794</w:t>
        </w:r>
      </w:hyperlink>
    </w:p>
    <w:p>
      <w:pPr>
        <w:tabs>
          <w:tab w:val="left" w:pos="560"/>
        </w:tabs>
        <w:spacing w:after="100" w:line="264"/>
        <w:ind w:left="560" w:hanging="560"/>
      </w:pPr>
      <w:r>
        <w:rPr>
          <w:rFonts w:ascii="Calibri" w:cs="Arial" w:eastAsia="Calibri" w:hAnsi="Calibri"/>
          <w:sz w:val="19"/>
          <w:szCs w:val="19"/>
        </w:rPr>
        <w:t xml:space="preserve">‎[14]	‎</w:t>
      </w:r>
      <w:r>
        <w:rPr>
          <w:rFonts w:ascii="Calibri" w:cs="Arial" w:eastAsia="Calibri" w:hAnsi="Calibri"/>
          <w:sz w:val="19"/>
          <w:szCs w:val="19"/>
        </w:rPr>
        <w:t xml:space="preserve">‎Cano, N., Berrio, L., Carvajal, E., &amp; Arango, S. (2022). Assessing the carbon footprint of a Colombian university campus using the UNE-ISO 14064–1 and WRI/WBCSD GHG Protocol Corporate Standard. Environmental Science and Pollution Research. doi:10.1007/s11356-022-22119-4 ‎</w:t>
      </w:r>
      <w:hyperlink w:history="1" r:id="rIdloyqlwlfxxuy_qszyxegq">
        <w:r>
          <w:rPr>
            <w:rStyle w:val="Hyperlink"/>
            <w:rFonts w:ascii="Calibri" w:cs="Arial" w:eastAsia="Calibri" w:hAnsi="Calibri"/>
          </w:rPr>
          <w:t xml:space="preserve">https://www.ncbi.nlm.nih.gov/pmc/articles/PMC9374572/</w:t>
        </w:r>
      </w:hyperlink>
    </w:p>
    <w:p>
      <w:pPr>
        <w:tabs>
          <w:tab w:val="left" w:pos="560"/>
        </w:tabs>
        <w:spacing w:after="100" w:line="264"/>
        <w:ind w:left="560" w:hanging="560"/>
      </w:pPr>
      <w:r>
        <w:rPr>
          <w:rFonts w:ascii="Calibri" w:cs="Arial" w:eastAsia="Calibri" w:hAnsi="Calibri"/>
          <w:sz w:val="19"/>
          <w:szCs w:val="19"/>
        </w:rPr>
        <w:t xml:space="preserve">‎[15]	‎</w:t>
      </w:r>
      <w:r>
        <w:rPr>
          <w:rFonts w:ascii="Calibri" w:cs="Arial" w:eastAsia="Calibri" w:hAnsi="Calibri"/>
          <w:sz w:val="19"/>
          <w:szCs w:val="19"/>
        </w:rPr>
        <w:t xml:space="preserve">‎Osorio, A. M., Úsuga, L. F., Vásquez, R. E., Nieto-Londoño, C., Rinaudo, M. E., Martínez, J. A., &amp; Leal Filho, W. (2022). Towards carbon neutrality in higher education institutions: case of two private universities in Colombia. Sustainability, 14(3), 1774. doi:10.3390/su14031774 ‎</w:t>
      </w:r>
      <w:hyperlink w:history="1" r:id="rId8tyhv-8qywolwk5ujh5wq">
        <w:r>
          <w:rPr>
            <w:rStyle w:val="Hyperlink"/>
            <w:rFonts w:ascii="Calibri" w:cs="Arial" w:eastAsia="Calibri" w:hAnsi="Calibri"/>
          </w:rPr>
          <w:t xml:space="preserve">https://doi.org/10.3390/su14031774</w:t>
        </w:r>
      </w:hyperlink>
    </w:p>
    <w:p>
      <w:pPr>
        <w:tabs>
          <w:tab w:val="left" w:pos="560"/>
        </w:tabs>
        <w:spacing w:after="100" w:line="264"/>
        <w:ind w:left="560" w:hanging="560"/>
      </w:pPr>
      <w:r>
        <w:rPr>
          <w:rFonts w:ascii="Calibri" w:cs="Arial" w:eastAsia="Calibri" w:hAnsi="Calibri"/>
          <w:sz w:val="19"/>
          <w:szCs w:val="19"/>
        </w:rPr>
        <w:t xml:space="preserve">‎[16]	‎</w:t>
      </w:r>
      <w:r>
        <w:rPr>
          <w:rFonts w:ascii="Calibri" w:cs="Arial" w:eastAsia="Calibri" w:hAnsi="Calibri"/>
          <w:sz w:val="19"/>
          <w:szCs w:val="19"/>
        </w:rPr>
        <w:t xml:space="preserve">‎Battistini, R., Passarini, F., Marrollo, R., Lantieri, C., Simone, A., &amp; Vignali, V. (2023). How to assess the carbon footprint of a large university? The case study of University of Bologna’s multicampus organization. Energies, 16(1), 166. doi:10.3390/en16010166 ‎</w:t>
      </w:r>
      <w:hyperlink w:history="1" r:id="rIdz4hud_a0oaqntgikutbs1">
        <w:r>
          <w:rPr>
            <w:rStyle w:val="Hyperlink"/>
            <w:rFonts w:ascii="Calibri" w:cs="Arial" w:eastAsia="Calibri" w:hAnsi="Calibri"/>
          </w:rPr>
          <w:t xml:space="preserve">https://doi.org/10.3390/en16010166</w:t>
        </w:r>
      </w:hyperlink>
    </w:p>
    <w:p>
      <w:pPr>
        <w:tabs>
          <w:tab w:val="left" w:pos="560"/>
        </w:tabs>
        <w:spacing w:after="100" w:line="264"/>
        <w:ind w:left="560" w:hanging="560"/>
      </w:pPr>
      <w:r>
        <w:rPr>
          <w:rFonts w:ascii="Calibri" w:cs="Arial" w:eastAsia="Calibri" w:hAnsi="Calibri"/>
          <w:sz w:val="19"/>
          <w:szCs w:val="19"/>
        </w:rPr>
        <w:t xml:space="preserve">‎[17]	‎</w:t>
      </w:r>
      <w:r>
        <w:rPr>
          <w:rFonts w:ascii="Calibri" w:cs="Arial" w:eastAsia="Calibri" w:hAnsi="Calibri"/>
          <w:sz w:val="19"/>
          <w:szCs w:val="19"/>
        </w:rPr>
        <w:t xml:space="preserve">‎Ahonen, V. L., Woszczek, A., Baumeister, S., Helimo, U. T., Jackson, A. K., Kopsakangas-Savolainen, M., Kääriä, J., Lehtonen, T., Luoranen, M., Pongrácz, E., Soukka, R., Vainio, V., &amp; El Geneidy, S. (2024). Carbon neutral higher education institutions: a reality check, challenges and solutions. International Journal of Sustainability in Higher Education, 25(9), 293–315. doi:10.1108/IJSHE-11-2023-0515 ‎</w:t>
      </w:r>
      <w:hyperlink w:history="1" r:id="rIdjmsh9a2xaitryluw1rzut">
        <w:r>
          <w:rPr>
            <w:rStyle w:val="Hyperlink"/>
            <w:rFonts w:ascii="Calibri" w:cs="Arial" w:eastAsia="Calibri" w:hAnsi="Calibri"/>
          </w:rPr>
          <w:t xml:space="preserve">https://doi.org/10.1108/IJSHE-11-2023-0515</w:t>
        </w:r>
      </w:hyperlink>
    </w:p>
    <w:p>
      <w:pPr>
        <w:tabs>
          <w:tab w:val="left" w:pos="560"/>
        </w:tabs>
        <w:spacing w:after="100" w:line="264"/>
        <w:ind w:left="560" w:hanging="560"/>
      </w:pPr>
      <w:r>
        <w:rPr>
          <w:rFonts w:ascii="Calibri" w:cs="Arial" w:eastAsia="Calibri" w:hAnsi="Calibri"/>
          <w:sz w:val="19"/>
          <w:szCs w:val="19"/>
        </w:rPr>
        <w:t xml:space="preserve">‎[18]	‎</w:t>
      </w:r>
      <w:r>
        <w:rPr>
          <w:rFonts w:ascii="Calibri" w:cs="Arial" w:eastAsia="Calibri" w:hAnsi="Calibri"/>
          <w:sz w:val="19"/>
          <w:szCs w:val="19"/>
        </w:rPr>
        <w:t xml:space="preserve">‎Rus, T., Moldovan, R.-P., Beu, D., Pop, M., &amp; Ceclan, A. (2025). Towards a climate-neutral campus: carbon footprint assessment in higher education institutions. Applied Sciences, 15(7), 3695. doi:10.3390/app15073695 ‎</w:t>
      </w:r>
      <w:hyperlink w:history="1" r:id="rIda0txycxlqfhhxz4es7rhb">
        <w:r>
          <w:rPr>
            <w:rStyle w:val="Hyperlink"/>
            <w:rFonts w:ascii="Calibri" w:cs="Arial" w:eastAsia="Calibri" w:hAnsi="Calibri"/>
          </w:rPr>
          <w:t xml:space="preserve">https://doi.org/10.3390/app15073695</w:t>
        </w:r>
      </w:hyperlink>
    </w:p>
    <w:p>
      <w:pPr>
        <w:tabs>
          <w:tab w:val="left" w:pos="560"/>
        </w:tabs>
        <w:spacing w:after="100" w:line="264"/>
        <w:ind w:left="560" w:hanging="560"/>
      </w:pPr>
      <w:r>
        <w:rPr>
          <w:rFonts w:ascii="Calibri" w:cs="Arial" w:eastAsia="Calibri" w:hAnsi="Calibri"/>
          <w:sz w:val="19"/>
          <w:szCs w:val="19"/>
        </w:rPr>
        <w:t xml:space="preserve">‎[19]	‎</w:t>
      </w:r>
      <w:r>
        <w:rPr>
          <w:rFonts w:ascii="Calibri" w:cs="Arial" w:eastAsia="Calibri" w:hAnsi="Calibri"/>
          <w:sz w:val="19"/>
          <w:szCs w:val="19"/>
        </w:rPr>
        <w:t xml:space="preserve">‎Yang, C., Yao, T., Dong, S., &amp; Jiang, W. (2025). Carbon emissions accounting and uncertainty analysis in campus settings: a case study of a university in Sichuan, China. PLOS ONE. doi:10.1371/journal.pone.0321216 ‎</w:t>
      </w:r>
      <w:hyperlink w:history="1" r:id="rId8equ7ng6v1h2gy6xv6nr3">
        <w:r>
          <w:rPr>
            <w:rStyle w:val="Hyperlink"/>
            <w:rFonts w:ascii="Calibri" w:cs="Arial" w:eastAsia="Calibri" w:hAnsi="Calibri"/>
          </w:rPr>
          <w:t xml:space="preserve">https://doi.org/10.1371/journal.pone.0321216</w:t>
        </w:r>
      </w:hyperlink>
    </w:p>
    <w:p>
      <w:pPr>
        <w:tabs>
          <w:tab w:val="left" w:pos="560"/>
        </w:tabs>
        <w:spacing w:after="100" w:line="264"/>
        <w:ind w:left="560" w:hanging="560"/>
      </w:pPr>
      <w:r>
        <w:rPr>
          <w:rFonts w:ascii="Calibri" w:cs="Arial" w:eastAsia="Calibri" w:hAnsi="Calibri"/>
          <w:sz w:val="19"/>
          <w:szCs w:val="19"/>
        </w:rPr>
        <w:t xml:space="preserve">‎[20]	‎</w:t>
      </w:r>
      <w:r>
        <w:rPr>
          <w:rFonts w:ascii="Calibri" w:cs="Arial" w:eastAsia="Calibri" w:hAnsi="Calibri"/>
          <w:sz w:val="19"/>
          <w:szCs w:val="19"/>
        </w:rPr>
        <w:t xml:space="preserve">‎Wagner, O., Tholen, L., Nawothnig, L., &amp; Albert-Seifried, S. (2021). Making school-based GHG-emissions tangible by student-led carbon footprint assessment program. Energies, 14(24), 8558. doi:10.3390/en14248558 ‎</w:t>
      </w:r>
      <w:hyperlink w:history="1" r:id="rIdiz7d7ruuxpsnqa1snofuo">
        <w:r>
          <w:rPr>
            <w:rStyle w:val="Hyperlink"/>
            <w:rFonts w:ascii="Calibri" w:cs="Arial" w:eastAsia="Calibri" w:hAnsi="Calibri"/>
          </w:rPr>
          <w:t xml:space="preserve">https://doi.org/10.3390/en14248558</w:t>
        </w:r>
      </w:hyperlink>
    </w:p>
    <w:p>
      <w:pPr>
        <w:tabs>
          <w:tab w:val="left" w:pos="560"/>
        </w:tabs>
        <w:spacing w:after="100" w:line="264"/>
        <w:ind w:left="560" w:hanging="560"/>
      </w:pPr>
      <w:r>
        <w:rPr>
          <w:rFonts w:ascii="Calibri" w:cs="Arial" w:eastAsia="Calibri" w:hAnsi="Calibri"/>
          <w:sz w:val="19"/>
          <w:szCs w:val="19"/>
        </w:rPr>
        <w:t xml:space="preserve">‎[21]	‎</w:t>
      </w:r>
      <w:r>
        <w:rPr>
          <w:rFonts w:ascii="Calibri" w:cs="Arial" w:eastAsia="Calibri" w:hAnsi="Calibri"/>
          <w:sz w:val="19"/>
          <w:szCs w:val="19"/>
        </w:rPr>
        <w:t xml:space="preserve">‎Adhikari and Pokhrel (2025). Study on the carbon footprint of schools in Pokhara, Nepal. Himalayan Journal of Applied Science and Engineering, 5(2), 173–183. doi:10.3126/hijase.v5i2.74787 ‎</w:t>
      </w:r>
      <w:hyperlink w:history="1" r:id="rIdhvxl8qrgwfu3mzxtiedbp">
        <w:r>
          <w:rPr>
            <w:rStyle w:val="Hyperlink"/>
            <w:rFonts w:ascii="Calibri" w:cs="Arial" w:eastAsia="Calibri" w:hAnsi="Calibri"/>
          </w:rPr>
          <w:t xml:space="preserve">https://www.nepjol.info/index.php/hijase/article/view/74787</w:t>
        </w:r>
      </w:hyperlink>
    </w:p>
    <w:p>
      <w:pPr>
        <w:tabs>
          <w:tab w:val="left" w:pos="560"/>
        </w:tabs>
        <w:spacing w:after="100" w:line="264"/>
        <w:ind w:left="560" w:hanging="560"/>
      </w:pPr>
      <w:r>
        <w:rPr>
          <w:rFonts w:ascii="Calibri" w:cs="Arial" w:eastAsia="Calibri" w:hAnsi="Calibri"/>
          <w:sz w:val="19"/>
          <w:szCs w:val="19"/>
        </w:rPr>
        <w:t xml:space="preserve">‎[22]	‎</w:t>
      </w:r>
      <w:r>
        <w:rPr>
          <w:rFonts w:ascii="Calibri" w:cs="Arial" w:eastAsia="Calibri" w:hAnsi="Calibri"/>
          <w:sz w:val="19"/>
          <w:szCs w:val="19"/>
        </w:rPr>
        <w:t xml:space="preserve">‎Badr, M. K., El Beheary, M., &amp; Hassan, I. A. (2026). The importance of calculating the carbon footprint of Egyptian universities and their role in sustainable development: Port Said University as case study. Annals of the Academy of Romanian Scientists, Series on Biological Sciences. doi:10.56082/annalsarscibio.2026.1.191 ‎</w:t>
      </w:r>
      <w:hyperlink w:history="1" r:id="rIdzdpdfplhwdurga1yk-hci">
        <w:r>
          <w:rPr>
            <w:rStyle w:val="Hyperlink"/>
            <w:rFonts w:ascii="Calibri" w:cs="Arial" w:eastAsia="Calibri" w:hAnsi="Calibri"/>
          </w:rPr>
          <w:t xml:space="preserve">https://doi.org/10.56082/annalsarscibio.2026.1.191</w:t>
        </w:r>
      </w:hyperlink>
    </w:p>
    <w:p>
      <w:pPr>
        <w:tabs>
          <w:tab w:val="left" w:pos="560"/>
        </w:tabs>
        <w:spacing w:after="100" w:line="264"/>
        <w:ind w:left="560" w:hanging="560"/>
      </w:pPr>
      <w:r>
        <w:rPr>
          <w:rFonts w:ascii="Calibri" w:cs="Arial" w:eastAsia="Calibri" w:hAnsi="Calibri"/>
          <w:sz w:val="19"/>
          <w:szCs w:val="19"/>
        </w:rPr>
        <w:t xml:space="preserve">‎[23]	‎</w:t>
      </w:r>
      <w:r>
        <w:rPr>
          <w:rFonts w:ascii="Calibri" w:cs="Arial" w:eastAsia="Calibri" w:hAnsi="Calibri"/>
          <w:sz w:val="19"/>
          <w:szCs w:val="19"/>
        </w:rPr>
        <w:t xml:space="preserve">‎Safwat, H., Abdel-Rehim, A. A., El-Mahallawi, I., Hussein, A. A., Amer, A. M., Elshazly, E., &amp; Elshamy, A. I. (2024). Guidelines for data collection on energy performance of higher-education buildings in Egypt: a case study. HBRC Journal, 20(1), 615–642. doi:10.1080/16874048.2024.2345553 ‎</w:t>
      </w:r>
      <w:hyperlink w:history="1" r:id="rIdijmawycdlyu3utoopej0m">
        <w:r>
          <w:rPr>
            <w:rStyle w:val="Hyperlink"/>
            <w:rFonts w:ascii="Calibri" w:cs="Arial" w:eastAsia="Calibri" w:hAnsi="Calibri"/>
          </w:rPr>
          <w:t xml:space="preserve">https://doi.org/10.1080/16874048.2024.2345553</w:t>
        </w:r>
      </w:hyperlink>
    </w:p>
    <w:p>
      <w:pPr>
        <w:tabs>
          <w:tab w:val="left" w:pos="560"/>
        </w:tabs>
        <w:spacing w:after="100" w:line="264"/>
        <w:ind w:left="560" w:hanging="560"/>
      </w:pPr>
      <w:r>
        <w:rPr>
          <w:rFonts w:ascii="Calibri" w:cs="Arial" w:eastAsia="Calibri" w:hAnsi="Calibri"/>
          <w:sz w:val="19"/>
          <w:szCs w:val="19"/>
        </w:rPr>
        <w:t xml:space="preserve">‎[24]	‎</w:t>
      </w:r>
      <w:r>
        <w:rPr>
          <w:rFonts w:ascii="Calibri" w:cs="Arial" w:eastAsia="Calibri" w:hAnsi="Calibri"/>
          <w:sz w:val="19"/>
          <w:szCs w:val="19"/>
        </w:rPr>
        <w:t xml:space="preserve">‎Hamada, A. A., Hong, S.-M., &amp; Raslan, R. (2025). Evaluating the operational performance in Cairo’s public administrative buildings: stock characterisation and typical energy use. Energy and Buildings, 346, 116065. doi:10.1016/j.enbuild.2025.116065 ‎</w:t>
      </w:r>
      <w:hyperlink w:history="1" r:id="rIds9llhvgc-cqivh90fomdk">
        <w:r>
          <w:rPr>
            <w:rStyle w:val="Hyperlink"/>
            <w:rFonts w:ascii="Calibri" w:cs="Arial" w:eastAsia="Calibri" w:hAnsi="Calibri"/>
          </w:rPr>
          <w:t xml:space="preserve">https://discovery.ucl.ac.uk/id/eprint/10211499</w:t>
        </w:r>
      </w:hyperlink>
    </w:p>
    <w:p>
      <w:pPr>
        <w:tabs>
          <w:tab w:val="left" w:pos="560"/>
        </w:tabs>
        <w:spacing w:after="100" w:line="264"/>
        <w:ind w:left="560" w:hanging="560"/>
      </w:pPr>
      <w:r>
        <w:rPr>
          <w:rFonts w:ascii="Calibri" w:cs="Arial" w:eastAsia="Calibri" w:hAnsi="Calibri"/>
          <w:sz w:val="19"/>
          <w:szCs w:val="19"/>
        </w:rPr>
        <w:t xml:space="preserve">‎[25]	‎</w:t>
      </w:r>
      <w:r>
        <w:rPr>
          <w:rFonts w:ascii="Calibri" w:cs="Arial" w:eastAsia="Calibri" w:hAnsi="Calibri"/>
          <w:sz w:val="19"/>
          <w:szCs w:val="19"/>
        </w:rPr>
        <w:t xml:space="preserve">‎García-Monge, M., Zalba, B., Casas, R., Cano, E., Guillén-Lambea, S., López-Mesa, B., &amp; Martínez, I. (2023). Is IoT monitoring key to improve building energy efficiency? Case study of a smart campus in Spain. Energy and Buildings, 285, 112882. doi:10.1016/j.enbuild.2023.112882 ‎</w:t>
      </w:r>
      <w:hyperlink w:history="1" r:id="rIdgxyo2rfdgzr0uchbuajsj">
        <w:r>
          <w:rPr>
            <w:rStyle w:val="Hyperlink"/>
            <w:rFonts w:ascii="Calibri" w:cs="Arial" w:eastAsia="Calibri" w:hAnsi="Calibri"/>
          </w:rPr>
          <w:t xml:space="preserve">https://doi.org/10.1016/j.enbuild.2023.112882</w:t>
        </w:r>
      </w:hyperlink>
    </w:p>
    <w:p>
      <w:pPr>
        <w:tabs>
          <w:tab w:val="left" w:pos="560"/>
        </w:tabs>
        <w:spacing w:after="100" w:line="264"/>
        <w:ind w:left="560" w:hanging="560"/>
      </w:pPr>
      <w:r>
        <w:rPr>
          <w:rFonts w:ascii="Calibri" w:cs="Arial" w:eastAsia="Calibri" w:hAnsi="Calibri"/>
          <w:sz w:val="19"/>
          <w:szCs w:val="19"/>
        </w:rPr>
        <w:t xml:space="preserve">‎[26]	‎</w:t>
      </w:r>
      <w:r>
        <w:rPr>
          <w:rFonts w:ascii="Calibri" w:cs="Arial" w:eastAsia="Calibri" w:hAnsi="Calibri"/>
          <w:sz w:val="19"/>
          <w:szCs w:val="19"/>
        </w:rPr>
        <w:t xml:space="preserve">‎Akenji, L., Bengtsson, M., Toivio, V., Lettenmeier, M., et al. (2021). 1.5-Degree Lifestyles: Towards a fair consumption space for all. Hot or Cool Institute, Berlin. ‎</w:t>
      </w:r>
      <w:hyperlink w:history="1" r:id="rIdhncfvpmtsz-jf8yzf-cno">
        <w:r>
          <w:rPr>
            <w:rStyle w:val="Hyperlink"/>
            <w:rFonts w:ascii="Calibri" w:cs="Arial" w:eastAsia="Calibri" w:hAnsi="Calibri"/>
          </w:rPr>
          <w:t xml:space="preserve">https://hotorcool.org/1-5-degree-lifestyles-report</w:t>
        </w:r>
      </w:hyperlink>
    </w:p>
    <w:p>
      <w:pPr>
        <w:tabs>
          <w:tab w:val="left" w:pos="560"/>
        </w:tabs>
        <w:spacing w:after="100" w:line="264"/>
        <w:ind w:left="560" w:hanging="560"/>
      </w:pPr>
      <w:r>
        <w:rPr>
          <w:rFonts w:ascii="Calibri" w:cs="Arial" w:eastAsia="Calibri" w:hAnsi="Calibri"/>
          <w:sz w:val="19"/>
          <w:szCs w:val="19"/>
        </w:rPr>
        <w:t xml:space="preserve">‎[27]	‎</w:t>
      </w:r>
      <w:r>
        <w:rPr>
          <w:rFonts w:ascii="Calibri" w:cs="Arial" w:eastAsia="Calibri" w:hAnsi="Calibri"/>
          <w:sz w:val="19"/>
          <w:szCs w:val="19"/>
        </w:rPr>
        <w:t xml:space="preserve">‎Crippa, M., Guizzardi, D., Pagani, F., et al. (2024). GHG emissions of all world countries: 2024 report. Publications Office of the European Union, Luxembourg. JRC138862. doi:10.2760/4002897 ‎</w:t>
      </w:r>
      <w:hyperlink w:history="1" r:id="rIdtiwn3_qys2bkhbi0g51rd">
        <w:r>
          <w:rPr>
            <w:rStyle w:val="Hyperlink"/>
            <w:rFonts w:ascii="Calibri" w:cs="Arial" w:eastAsia="Calibri" w:hAnsi="Calibri"/>
          </w:rPr>
          <w:t xml:space="preserve">https://data.europa.eu/doi/10.2760/4002897</w:t>
        </w:r>
      </w:hyperlink>
    </w:p>
    <w:p>
      <w:pPr>
        <w:tabs>
          <w:tab w:val="left" w:pos="560"/>
        </w:tabs>
        <w:spacing w:after="100" w:line="264"/>
        <w:ind w:left="560" w:hanging="560"/>
      </w:pPr>
      <w:r>
        <w:rPr>
          <w:rFonts w:ascii="Calibri" w:cs="Arial" w:eastAsia="Calibri" w:hAnsi="Calibri"/>
          <w:sz w:val="19"/>
          <w:szCs w:val="19"/>
        </w:rPr>
        <w:t xml:space="preserve">‎[28]	‎</w:t>
      </w:r>
      <w:r>
        <w:rPr>
          <w:rFonts w:ascii="Calibri" w:cs="Arial" w:eastAsia="Calibri" w:hAnsi="Calibri"/>
          <w:sz w:val="19"/>
          <w:szCs w:val="19"/>
        </w:rPr>
        <w:t xml:space="preserve">‎Ajufo, C., &amp; Bekaroo, G. (2021). An automated personal carbon footprint calculator for estimating carbon emissions from transportation use. In Proceedings of the International Conference on Artificial Intelligence and its Applications (icARTi ’21). ACM. doi:10.1145/3487923.3487935 ‎</w:t>
      </w:r>
      <w:hyperlink w:history="1" r:id="rIds8zetv9gcsjahv5omrqec">
        <w:r>
          <w:rPr>
            <w:rStyle w:val="Hyperlink"/>
            <w:rFonts w:ascii="Calibri" w:cs="Arial" w:eastAsia="Calibri" w:hAnsi="Calibri"/>
          </w:rPr>
          <w:t xml:space="preserve">https://doi.org/10.1145/3487923.3487935</w:t>
        </w:r>
      </w:hyperlink>
    </w:p>
    <w:p>
      <w:pPr>
        <w:tabs>
          <w:tab w:val="left" w:pos="560"/>
        </w:tabs>
        <w:spacing w:after="100" w:line="264"/>
        <w:ind w:left="560" w:hanging="560"/>
      </w:pPr>
      <w:r>
        <w:rPr>
          <w:rFonts w:ascii="Calibri" w:cs="Arial" w:eastAsia="Calibri" w:hAnsi="Calibri"/>
          <w:sz w:val="19"/>
          <w:szCs w:val="19"/>
        </w:rPr>
        <w:t xml:space="preserve">‎[29]	‎</w:t>
      </w:r>
      <w:r>
        <w:rPr>
          <w:rFonts w:ascii="Calibri" w:cs="Arial" w:eastAsia="Calibri" w:hAnsi="Calibri"/>
          <w:sz w:val="19"/>
          <w:szCs w:val="19"/>
        </w:rPr>
        <w:t xml:space="preserve">‎Bekaroo, G., Roopowa, D., Zakari, A., &amp; Niemeier, D. (2021). Calculating carbon emissions from personal travelling: insights from a top-down analysis of key calculators. Environmental Science and Pollution Research, 28(7), 8853–8872. doi:10.1007/s11356-020-11179-z ‎</w:t>
      </w:r>
      <w:hyperlink w:history="1" r:id="rIdg1t2uspug26zuab0hfegm">
        <w:r>
          <w:rPr>
            <w:rStyle w:val="Hyperlink"/>
            <w:rFonts w:ascii="Calibri" w:cs="Arial" w:eastAsia="Calibri" w:hAnsi="Calibri"/>
          </w:rPr>
          <w:t xml:space="preserve">https://doi.org/10.1007/s11356-020-11179-z</w:t>
        </w:r>
      </w:hyperlink>
    </w:p>
    <w:p>
      <w:pPr>
        <w:tabs>
          <w:tab w:val="left" w:pos="560"/>
        </w:tabs>
        <w:spacing w:after="100" w:line="264"/>
        <w:ind w:left="560" w:hanging="560"/>
      </w:pPr>
      <w:r>
        <w:rPr>
          <w:rFonts w:ascii="Calibri" w:cs="Arial" w:eastAsia="Calibri" w:hAnsi="Calibri"/>
          <w:sz w:val="19"/>
          <w:szCs w:val="19"/>
        </w:rPr>
        <w:t xml:space="preserve">‎[30]	‎</w:t>
      </w:r>
      <w:r>
        <w:rPr>
          <w:rFonts w:ascii="Calibri" w:cs="Arial" w:eastAsia="Calibri" w:hAnsi="Calibri"/>
          <w:sz w:val="19"/>
          <w:szCs w:val="19"/>
        </w:rPr>
        <w:t xml:space="preserve">‎Zhang, Y., Echchabi, O., Feng, T., Zhang, W., Liao, H.-K., &amp; Chang, C. (2026). Detecting transportation mode using dense smartphone GPS trajectories and Transformer models. International Journal of Geographical Information Science. arXiv:2603.00340 ‎</w:t>
      </w:r>
      <w:hyperlink w:history="1" r:id="rIdt_v_3zqqswreq5dienj1u">
        <w:r>
          <w:rPr>
            <w:rStyle w:val="Hyperlink"/>
            <w:rFonts w:ascii="Calibri" w:cs="Arial" w:eastAsia="Calibri" w:hAnsi="Calibri"/>
          </w:rPr>
          <w:t xml:space="preserve">https://arxiv.org/abs/2603.00340</w:t>
        </w:r>
      </w:hyperlink>
    </w:p>
    <w:p>
      <w:pPr>
        <w:tabs>
          <w:tab w:val="left" w:pos="560"/>
        </w:tabs>
        <w:spacing w:after="100" w:line="264"/>
        <w:ind w:left="560" w:hanging="560"/>
      </w:pPr>
      <w:r>
        <w:rPr>
          <w:rFonts w:ascii="Calibri" w:cs="Arial" w:eastAsia="Calibri" w:hAnsi="Calibri"/>
          <w:sz w:val="19"/>
          <w:szCs w:val="19"/>
        </w:rPr>
        <w:t xml:space="preserve">‎[31]	‎</w:t>
      </w:r>
      <w:r>
        <w:rPr>
          <w:rFonts w:ascii="Calibri" w:cs="Arial" w:eastAsia="Calibri" w:hAnsi="Calibri"/>
          <w:sz w:val="19"/>
          <w:szCs w:val="19"/>
        </w:rPr>
        <w:t xml:space="preserve">‎Sadeghian, P., Håkansson, J., &amp; Zhao, X. (2021). Review and evaluation of methods in transport mode detection based on GPS tracking data. Journal of Traffic and Transportation Engineering (English Edition), 8(4), 467–482. ‎</w:t>
      </w:r>
      <w:hyperlink w:history="1" r:id="rId7ogdmkacsxn4nimqzflxj">
        <w:r>
          <w:rPr>
            <w:rStyle w:val="Hyperlink"/>
            <w:rFonts w:ascii="Calibri" w:cs="Arial" w:eastAsia="Calibri" w:hAnsi="Calibri"/>
          </w:rPr>
          <w:t xml:space="preserve">https://doaj.org/article/cedcdc9d16f541aaa07a5c67ef7f5d2b</w:t>
        </w:r>
      </w:hyperlink>
    </w:p>
    <w:p>
      <w:pPr>
        <w:tabs>
          <w:tab w:val="left" w:pos="560"/>
        </w:tabs>
        <w:spacing w:after="100" w:line="264"/>
        <w:ind w:left="560" w:hanging="560"/>
      </w:pPr>
      <w:r>
        <w:rPr>
          <w:rFonts w:ascii="Calibri" w:cs="Arial" w:eastAsia="Calibri" w:hAnsi="Calibri"/>
          <w:sz w:val="19"/>
          <w:szCs w:val="19"/>
        </w:rPr>
        <w:t xml:space="preserve">‎[32]	‎</w:t>
      </w:r>
      <w:r>
        <w:rPr>
          <w:rFonts w:ascii="Calibri" w:cs="Arial" w:eastAsia="Calibri" w:hAnsi="Calibri"/>
          <w:sz w:val="19"/>
          <w:szCs w:val="19"/>
        </w:rPr>
        <w:t xml:space="preserve">‎Wang, L., Gjoreski, H., Ciliberto, M., Lago, P., Murao, K., Okita, T., &amp; Roggen, D. (2021). Three-year review of the 2018–2020 SHL challenge on transportation and locomotion mode recognition from mobile sensors. Frontiers in Computer Science, 3, 713719. doi:10.3389/fcomp.2021.713719 ‎</w:t>
      </w:r>
      <w:hyperlink w:history="1" r:id="rId-wh1vgk1cat6xljhrhger">
        <w:r>
          <w:rPr>
            <w:rStyle w:val="Hyperlink"/>
            <w:rFonts w:ascii="Calibri" w:cs="Arial" w:eastAsia="Calibri" w:hAnsi="Calibri"/>
          </w:rPr>
          <w:t xml:space="preserve">https://doi.org/10.3389/fcomp.2021.713719</w:t>
        </w:r>
      </w:hyperlink>
    </w:p>
    <w:p>
      <w:pPr>
        <w:tabs>
          <w:tab w:val="left" w:pos="560"/>
        </w:tabs>
        <w:spacing w:after="100" w:line="264"/>
        <w:ind w:left="560" w:hanging="560"/>
      </w:pPr>
      <w:r>
        <w:rPr>
          <w:rFonts w:ascii="Calibri" w:cs="Arial" w:eastAsia="Calibri" w:hAnsi="Calibri"/>
          <w:sz w:val="19"/>
          <w:szCs w:val="19"/>
        </w:rPr>
        <w:t xml:space="preserve">‎[33]	‎</w:t>
      </w:r>
      <w:r>
        <w:rPr>
          <w:rFonts w:ascii="Calibri" w:cs="Arial" w:eastAsia="Calibri" w:hAnsi="Calibri"/>
          <w:sz w:val="19"/>
          <w:szCs w:val="19"/>
        </w:rPr>
        <w:t xml:space="preserve">‎Wang, P., &amp; Jiang, Y. (2022). Transportation mode detection using temporal convolutional networks based on sensors integrated into smartphones. Sensors, 22(17), 6712. doi:10.3390/s22176712 ‎</w:t>
      </w:r>
      <w:hyperlink w:history="1" r:id="rIdmdkqytkvxh92ibqr_z9ul">
        <w:r>
          <w:rPr>
            <w:rStyle w:val="Hyperlink"/>
            <w:rFonts w:ascii="Calibri" w:cs="Arial" w:eastAsia="Calibri" w:hAnsi="Calibri"/>
          </w:rPr>
          <w:t xml:space="preserve">https://doi.org/10.3390/s22176712</w:t>
        </w:r>
      </w:hyperlink>
    </w:p>
    <w:p>
      <w:pPr>
        <w:tabs>
          <w:tab w:val="left" w:pos="560"/>
        </w:tabs>
        <w:spacing w:after="100" w:line="264"/>
        <w:ind w:left="560" w:hanging="560"/>
      </w:pPr>
      <w:r>
        <w:rPr>
          <w:rFonts w:ascii="Calibri" w:cs="Arial" w:eastAsia="Calibri" w:hAnsi="Calibri"/>
          <w:sz w:val="19"/>
          <w:szCs w:val="19"/>
        </w:rPr>
        <w:t xml:space="preserve">‎[34]	‎</w:t>
      </w:r>
      <w:r>
        <w:rPr>
          <w:rFonts w:ascii="Calibri" w:cs="Arial" w:eastAsia="Calibri" w:hAnsi="Calibri"/>
          <w:sz w:val="19"/>
          <w:szCs w:val="19"/>
        </w:rPr>
        <w:t xml:space="preserve">‎Tahir, G. A., &amp; Loo, C. K. (2021). A comprehensive survey of image-based food recognition and volume estimation methods for dietary assessment. Healthcare, 9(12), 1676. doi:10.3390/healthcare9121676 ‎</w:t>
      </w:r>
      <w:hyperlink w:history="1" r:id="rIdczco-xqz9eyuapvhenvfq">
        <w:r>
          <w:rPr>
            <w:rStyle w:val="Hyperlink"/>
            <w:rFonts w:ascii="Calibri" w:cs="Arial" w:eastAsia="Calibri" w:hAnsi="Calibri"/>
          </w:rPr>
          <w:t xml:space="preserve">https://doi.org/10.3390/healthcare9121676</w:t>
        </w:r>
      </w:hyperlink>
    </w:p>
    <w:p>
      <w:pPr>
        <w:tabs>
          <w:tab w:val="left" w:pos="560"/>
        </w:tabs>
        <w:spacing w:after="100" w:line="264"/>
        <w:ind w:left="560" w:hanging="560"/>
      </w:pPr>
      <w:r>
        <w:rPr>
          <w:rFonts w:ascii="Calibri" w:cs="Arial" w:eastAsia="Calibri" w:hAnsi="Calibri"/>
          <w:sz w:val="19"/>
          <w:szCs w:val="19"/>
        </w:rPr>
        <w:t xml:space="preserve">‎[35]	‎</w:t>
      </w:r>
      <w:r>
        <w:rPr>
          <w:rFonts w:ascii="Calibri" w:cs="Arial" w:eastAsia="Calibri" w:hAnsi="Calibri"/>
          <w:sz w:val="19"/>
          <w:szCs w:val="19"/>
        </w:rPr>
        <w:t xml:space="preserve">‎Dalakleidi, K. V., Papadelli, M., Kapolos, I., &amp; Papadimitriou, K. (2022). Applying image-based food-recognition systems on dietary assessment: a systematic review. Advances in Nutrition, 13(6), 2590–2619. doi:10.1093/advances/nmac078 ‎</w:t>
      </w:r>
      <w:hyperlink w:history="1" r:id="rId6bgjqsbaqonta3s0sxds6">
        <w:r>
          <w:rPr>
            <w:rStyle w:val="Hyperlink"/>
            <w:rFonts w:ascii="Calibri" w:cs="Arial" w:eastAsia="Calibri" w:hAnsi="Calibri"/>
          </w:rPr>
          <w:t xml:space="preserve">https://www.ncbi.nlm.nih.gov/pmc/articles/PMC9776640/</w:t>
        </w:r>
      </w:hyperlink>
    </w:p>
    <w:p>
      <w:pPr>
        <w:tabs>
          <w:tab w:val="left" w:pos="560"/>
        </w:tabs>
        <w:spacing w:after="100" w:line="264"/>
        <w:ind w:left="560" w:hanging="560"/>
      </w:pPr>
      <w:r>
        <w:rPr>
          <w:rFonts w:ascii="Calibri" w:cs="Arial" w:eastAsia="Calibri" w:hAnsi="Calibri"/>
          <w:sz w:val="19"/>
          <w:szCs w:val="19"/>
        </w:rPr>
        <w:t xml:space="preserve">‎[36]	‎</w:t>
      </w:r>
      <w:r>
        <w:rPr>
          <w:rFonts w:ascii="Calibri" w:cs="Arial" w:eastAsia="Calibri" w:hAnsi="Calibri"/>
          <w:sz w:val="19"/>
          <w:szCs w:val="19"/>
        </w:rPr>
        <w:t xml:space="preserve">‎Ismail, M. L., &amp; Sahari, N. (2024). Real time energy monitoring &amp; current spikes detection system for enhanced energy conservation in residential area. Progress in Engineering Application and Technology, 5(1), 79–87. doi:10.30880/peat.2024.05.01.008 ‎</w:t>
      </w:r>
      <w:hyperlink w:history="1" r:id="rIdft8v-k0leqpgxp8umnisz">
        <w:r>
          <w:rPr>
            <w:rStyle w:val="Hyperlink"/>
            <w:rFonts w:ascii="Calibri" w:cs="Arial" w:eastAsia="Calibri" w:hAnsi="Calibri"/>
          </w:rPr>
          <w:t xml:space="preserve">https://penerbit.uthm.edu.my/periodicals/index.php/peat/article/view/14767</w:t>
        </w:r>
      </w:hyperlink>
    </w:p>
    <w:p>
      <w:pPr>
        <w:tabs>
          <w:tab w:val="left" w:pos="560"/>
        </w:tabs>
        <w:spacing w:after="100" w:line="264"/>
        <w:ind w:left="560" w:hanging="560"/>
      </w:pPr>
      <w:r>
        <w:rPr>
          <w:rFonts w:ascii="Calibri" w:cs="Arial" w:eastAsia="Calibri" w:hAnsi="Calibri"/>
          <w:sz w:val="19"/>
          <w:szCs w:val="19"/>
        </w:rPr>
        <w:t xml:space="preserve">‎[37]	‎</w:t>
      </w:r>
      <w:r>
        <w:rPr>
          <w:rFonts w:ascii="Calibri" w:cs="Arial" w:eastAsia="Calibri" w:hAnsi="Calibri"/>
          <w:sz w:val="19"/>
          <w:szCs w:val="19"/>
        </w:rPr>
        <w:t xml:space="preserve">‎Miller, C., et al. (2020). The ASHRAE Great Energy Predictor III competition: overview and results. Science and Technology for the Built Environment, 26(10). doi:10.1080/23744731.2020.1795514 ‎</w:t>
      </w:r>
      <w:hyperlink w:history="1" r:id="rIdyfuub9gdwdqzmqspzpk2w">
        <w:r>
          <w:rPr>
            <w:rStyle w:val="Hyperlink"/>
            <w:rFonts w:ascii="Calibri" w:cs="Arial" w:eastAsia="Calibri" w:hAnsi="Calibri"/>
          </w:rPr>
          <w:t xml:space="preserve">https://arxiv.org/abs/2007.06933</w:t>
        </w:r>
      </w:hyperlink>
    </w:p>
    <w:p>
      <w:pPr>
        <w:tabs>
          <w:tab w:val="left" w:pos="560"/>
        </w:tabs>
        <w:spacing w:after="100" w:line="264"/>
        <w:ind w:left="560" w:hanging="560"/>
      </w:pPr>
      <w:r>
        <w:rPr>
          <w:rFonts w:ascii="Calibri" w:cs="Arial" w:eastAsia="Calibri" w:hAnsi="Calibri"/>
          <w:sz w:val="19"/>
          <w:szCs w:val="19"/>
        </w:rPr>
        <w:t xml:space="preserve">‎[38]	‎</w:t>
      </w:r>
      <w:r>
        <w:rPr>
          <w:rFonts w:ascii="Calibri" w:cs="Arial" w:eastAsia="Calibri" w:hAnsi="Calibri"/>
          <w:sz w:val="19"/>
          <w:szCs w:val="19"/>
        </w:rPr>
        <w:t xml:space="preserve">‎Anand, P., Deb, C., Yang, K., Yang, J., Cheong, D., &amp; Sekhar, C. (2021). Occupancy-based energy consumption modelling using machine learning algorithms for institutional buildings. Energy and Buildings, 111478. doi:10.1016/j.enbuild.2021.111478 ‎</w:t>
      </w:r>
      <w:hyperlink w:history="1" r:id="rIdhkuzomfdhm-2vurcy-fg-">
        <w:r>
          <w:rPr>
            <w:rStyle w:val="Hyperlink"/>
            <w:rFonts w:ascii="Calibri" w:cs="Arial" w:eastAsia="Calibri" w:hAnsi="Calibri"/>
          </w:rPr>
          <w:t xml:space="preserve">https://doi.org/10.1016/j.enbuild.2021.111478</w:t>
        </w:r>
      </w:hyperlink>
    </w:p>
    <w:p>
      <w:pPr>
        <w:tabs>
          <w:tab w:val="left" w:pos="560"/>
        </w:tabs>
        <w:spacing w:after="100" w:line="264"/>
        <w:ind w:left="560" w:hanging="560"/>
      </w:pPr>
      <w:r>
        <w:rPr>
          <w:rFonts w:ascii="Calibri" w:cs="Arial" w:eastAsia="Calibri" w:hAnsi="Calibri"/>
          <w:sz w:val="19"/>
          <w:szCs w:val="19"/>
        </w:rPr>
        <w:t xml:space="preserve">‎[39]	‎</w:t>
      </w:r>
      <w:r>
        <w:rPr>
          <w:rFonts w:ascii="Calibri" w:cs="Arial" w:eastAsia="Calibri" w:hAnsi="Calibri"/>
          <w:sz w:val="19"/>
          <w:szCs w:val="19"/>
        </w:rPr>
        <w:t xml:space="preserve">‎Himeur, Y., Ghanem, K., Alsalemi, A., Bensaali, F., &amp; Amira, A. (2021). Artificial intelligence based anomaly detection of energy consumption in buildings: a review, current trends and new perspectives. Applied Energy, 287, 116601. doi:10.1016/j.apenergy.2021.116601 ‎</w:t>
      </w:r>
      <w:hyperlink w:history="1" r:id="rIdfaaadajkbra6co76i897f">
        <w:r>
          <w:rPr>
            <w:rStyle w:val="Hyperlink"/>
            <w:rFonts w:ascii="Calibri" w:cs="Arial" w:eastAsia="Calibri" w:hAnsi="Calibri"/>
          </w:rPr>
          <w:t xml:space="preserve">https://arxiv.org/abs/2010.04560</w:t>
        </w:r>
      </w:hyperlink>
    </w:p>
    <w:p>
      <w:pPr>
        <w:tabs>
          <w:tab w:val="left" w:pos="560"/>
        </w:tabs>
        <w:spacing w:after="100" w:line="264"/>
        <w:ind w:left="560" w:hanging="560"/>
      </w:pPr>
      <w:r>
        <w:rPr>
          <w:rFonts w:ascii="Calibri" w:cs="Arial" w:eastAsia="Calibri" w:hAnsi="Calibri"/>
          <w:sz w:val="19"/>
          <w:szCs w:val="19"/>
        </w:rPr>
        <w:t xml:space="preserve">‎[40]	‎</w:t>
      </w:r>
      <w:r>
        <w:rPr>
          <w:rFonts w:ascii="Calibri" w:cs="Arial" w:eastAsia="Calibri" w:hAnsi="Calibri"/>
          <w:sz w:val="19"/>
          <w:szCs w:val="19"/>
        </w:rPr>
        <w:t xml:space="preserve">‎Azad, Rajabi and Estebsari (2023). Non-intrusive load monitoring (NILM) using deep neural networks: a review. arXiv:2306.05017 ‎</w:t>
      </w:r>
      <w:hyperlink w:history="1" r:id="rIdzr--grmwv9t0orteflbeo">
        <w:r>
          <w:rPr>
            <w:rStyle w:val="Hyperlink"/>
            <w:rFonts w:ascii="Calibri" w:cs="Arial" w:eastAsia="Calibri" w:hAnsi="Calibri"/>
          </w:rPr>
          <w:t xml:space="preserve">https://arxiv.org/abs/2306.05017</w:t>
        </w:r>
      </w:hyperlink>
    </w:p>
    <w:p>
      <w:pPr>
        <w:pStyle w:val="Heading3"/>
        <w:bidi/>
      </w:pPr>
      <w:r>
        <w:rPr>
          <w:rFonts w:ascii="Calibri" w:cs="Arial" w:eastAsia="Calibri" w:hAnsi="Calibri"/>
          <w:rtl/>
        </w:rPr>
        <w:t xml:space="preserve">المعايير</w:t>
      </w:r>
    </w:p>
    <w:p>
      <w:pPr>
        <w:spacing w:after="80" w:line="264"/>
        <w:ind w:left="560" w:hanging="280"/>
      </w:pPr>
      <w:r>
        <w:rPr>
          <w:rFonts w:ascii="Calibri" w:cs="Arial" w:eastAsia="Calibri" w:hAnsi="Calibri"/>
          <w:sz w:val="19"/>
          <w:szCs w:val="19"/>
        </w:rPr>
        <w:t xml:space="preserve">‎• WRI &amp; WBCSD (2004). The Greenhouse Gas Protocol: A Corporate Accounting and Reporting Standard (revised edition).‎</w:t>
      </w:r>
    </w:p>
    <w:p>
      <w:pPr>
        <w:spacing w:after="80" w:line="264"/>
        <w:ind w:left="560" w:hanging="280"/>
      </w:pPr>
      <w:r>
        <w:rPr>
          <w:rFonts w:ascii="Calibri" w:cs="Arial" w:eastAsia="Calibri" w:hAnsi="Calibri"/>
          <w:sz w:val="19"/>
          <w:szCs w:val="19"/>
        </w:rPr>
        <w:t xml:space="preserve">‎• WRI &amp; WBCSD (2011). Corporate Value Chain (Scope 3) Accounting and Reporting Standard.‎</w:t>
      </w:r>
    </w:p>
    <w:p>
      <w:pPr>
        <w:spacing w:after="80" w:line="264"/>
        <w:ind w:left="560" w:hanging="280"/>
      </w:pPr>
      <w:r>
        <w:rPr>
          <w:rFonts w:ascii="Calibri" w:cs="Arial" w:eastAsia="Calibri" w:hAnsi="Calibri"/>
          <w:sz w:val="19"/>
          <w:szCs w:val="19"/>
        </w:rPr>
        <w:t xml:space="preserve">‎• ISO 14064-1:2018. Greenhouse gases — Part 1: Specification with guidance at the organization level for quantification and reporting of greenhouse gas emissions and removals.‎</w:t>
      </w:r>
    </w:p>
    <w:p>
      <w:pPr>
        <w:spacing w:after="80" w:line="264"/>
        <w:ind w:left="560" w:hanging="280"/>
      </w:pPr>
      <w:r>
        <w:rPr>
          <w:rFonts w:ascii="Calibri" w:cs="Arial" w:eastAsia="Calibri" w:hAnsi="Calibri"/>
          <w:sz w:val="19"/>
          <w:szCs w:val="19"/>
        </w:rPr>
        <w:t xml:space="preserve">‎• ISO/TR 14069:2013. Greenhouse gases — Quantification and reporting of greenhouse gas emissions for organizations — Guidance for the application of ISO 14064-1.‎</w:t>
      </w:r>
    </w:p>
    <w:p>
      <w:pPr>
        <w:spacing w:after="80" w:line="264"/>
        <w:ind w:left="560" w:hanging="280"/>
      </w:pPr>
      <w:r>
        <w:rPr>
          <w:rFonts w:ascii="Calibri" w:cs="Arial" w:eastAsia="Calibri" w:hAnsi="Calibri"/>
          <w:sz w:val="19"/>
          <w:szCs w:val="19"/>
        </w:rPr>
        <w:t xml:space="preserve">‎• IPCC (2014). Fifth Assessment Report (AR5): global warming potentials (100-year).‎</w:t>
      </w:r>
    </w:p>
    <w:p>
      <w:pPr>
        <w:spacing w:after="80" w:line="264"/>
        <w:ind w:left="560" w:hanging="280"/>
      </w:pPr>
      <w:r>
        <w:rPr>
          <w:rFonts w:ascii="Calibri" w:cs="Arial" w:eastAsia="Calibri" w:hAnsi="Calibri"/>
          <w:sz w:val="19"/>
          <w:szCs w:val="19"/>
        </w:rPr>
        <w:t xml:space="preserve">‎• UI GreenMetric World University Rankings. Guidelines (Energy and Climate Change criterion).‎</w:t>
      </w:r>
    </w:p>
    <w:p>
      <w:pPr>
        <w:pStyle w:val="Heading1"/>
        <w:pageBreakBefore/>
        <w:bidi/>
      </w:pPr>
      <w:r>
        <w:rPr>
          <w:rFonts w:ascii="Calibri" w:cs="Arial" w:eastAsia="Calibri" w:hAnsi="Calibri"/>
          <w:rtl/>
        </w:rPr>
        <w:t xml:space="preserve">ملحق (أ): روابط تحميل كل الأبحاث</w:t>
      </w:r>
    </w:p>
    <w:p>
      <w:pPr>
        <w:bidi/>
        <w:spacing w:after="120" w:line="300"/>
      </w:pPr>
      <w:r>
        <w:rPr>
          <w:rFonts w:ascii="Calibri" w:cs="Arial" w:eastAsia="Calibri" w:hAnsi="Calibri"/>
          <w:rtl/>
        </w:rPr>
        <w:t xml:space="preserve">أغلب الأبحاث مفتوحة المصدر. وللباقي ذكرنا نسخة مجانية من المؤلف أو المستودع إن وُجدت، وإلا فمن خلال حساب مكتبة الجامعة أو بنك المعرفة المصري.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250"/>
        <w:gridCol w:w="850"/>
        <w:gridCol w:w="3350"/>
        <w:gridCol w:w="2738"/>
      </w:tblGrid>
      <w:tr>
        <w:trPr>
          <w:cantSplit/>
          <w:tblHeader/>
        </w:trPr>
        <w:tc>
          <w:tcPr>
            <w:tcW w:type="dxa" w:w="4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w:t>
            </w:r>
          </w:p>
        </w:tc>
        <w:tc>
          <w:tcPr>
            <w:tcW w:type="dxa" w:w="22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البحث</w:t>
            </w:r>
          </w:p>
        </w:tc>
        <w:tc>
          <w:tcPr>
            <w:tcW w:type="dxa" w:w="8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السنة</w:t>
            </w:r>
          </w:p>
        </w:tc>
        <w:tc>
          <w:tcPr>
            <w:tcW w:type="dxa" w:w="335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رابط التحميل</w:t>
            </w:r>
          </w:p>
        </w:tc>
        <w:tc>
          <w:tcPr>
            <w:tcW w:type="dxa" w:w="27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bidi/>
              <w:spacing w:after="0" w:line="270"/>
            </w:pPr>
            <w:r>
              <w:rPr>
                <w:rFonts w:ascii="Calibri" w:cs="Arial" w:eastAsia="Calibri" w:hAnsi="Calibri"/>
                <w:b/>
                <w:bCs/>
                <w:color w:val="14302A"/>
                <w:sz w:val="18"/>
                <w:szCs w:val="18"/>
                <w:rtl/>
              </w:rPr>
              <w:t xml:space="preserve">الإتاحة</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‎Valls-Val and Bovea‎</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kw9rhppzwahzaiaj_abgh">
              <w:r>
                <w:rPr>
                  <w:rStyle w:val="Hyperlink"/>
                  <w:rFonts w:ascii="Calibri" w:cs="Arial" w:eastAsia="Calibri" w:hAnsi="Calibri"/>
                </w:rPr>
                <w:t xml:space="preserve">doi.org/10.1007/s10098-021-02180-2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على مستودع جامعة </w:t>
            </w:r>
            <w:r>
              <w:rPr>
                <w:rFonts w:ascii="Calibri" w:cs="Arial" w:eastAsia="Calibri" w:hAnsi="Calibri"/>
                <w:sz w:val="18"/>
                <w:szCs w:val="18"/>
              </w:rPr>
              <w:t xml:space="preserve">Jaume I: repositori.uji.es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‎Li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8lsqc2ifmiqa6_mi9lxbz">
              <w:r>
                <w:rPr>
                  <w:rStyle w:val="Hyperlink"/>
                  <w:rFonts w:ascii="Calibri" w:cs="Arial" w:eastAsia="Calibri" w:hAnsi="Calibri"/>
                </w:rPr>
                <w:t xml:space="preserve">doi.org/10.1016/j.jclepro.2020.125642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Pr>
              <w:t xml:space="preserve">Elsevier</w:t>
            </w:r>
            <w:r>
              <w:rPr>
                <w:rFonts w:ascii="Calibri" w:cs="Arial" w:eastAsia="Calibri" w:hAnsi="Calibri"/>
                <w:sz w:val="18"/>
                <w:szCs w:val="18"/>
                <w:rtl/>
              </w:rPr>
              <w:t xml:space="preserve"> (من خلال حساب مكتبة الجامعة)</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‎Helmers, Chang and Dauwels‎</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vkbkbelcfsimce_funjri">
              <w:r>
                <w:rPr>
                  <w:rStyle w:val="Hyperlink"/>
                  <w:rFonts w:ascii="Calibri" w:cs="Arial" w:eastAsia="Calibri" w:hAnsi="Calibri"/>
                </w:rPr>
                <w:t xml:space="preserve">doi.org/10.1186/s12302-021-00454-6</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‎4‎</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‎Valls-Val and Bovea (CO2UNV)‎</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ruowgichktw69kzzlicja">
              <w:r>
                <w:rPr>
                  <w:rStyle w:val="Hyperlink"/>
                  <w:rFonts w:ascii="Calibri" w:cs="Arial" w:eastAsia="Calibri" w:hAnsi="Calibri"/>
                </w:rPr>
                <w:t xml:space="preserve">doi.org/10.1016/j.spc.2021.11.020</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على مستودع جامعة </w:t>
            </w:r>
            <w:r>
              <w:rPr>
                <w:rFonts w:ascii="Calibri" w:cs="Arial" w:eastAsia="Calibri" w:hAnsi="Calibri"/>
                <w:sz w:val="18"/>
                <w:szCs w:val="18"/>
              </w:rPr>
              <w:t xml:space="preserve">Jaume I: repositori.uji.es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‎5‎</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‎Guerrero-Lucendo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oap6fczhnmxtgt8xqb7lr">
              <w:r>
                <w:rPr>
                  <w:rStyle w:val="Hyperlink"/>
                  <w:rFonts w:ascii="Calibri" w:cs="Arial" w:eastAsia="Calibri" w:hAnsi="Calibri"/>
                </w:rPr>
                <w:t xml:space="preserve">doi.org/10.3390/ijerph191710964</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‎6‎</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‎Herth and Blok‎</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ok7e5mrj3p1qxlzt7onv1">
              <w:r>
                <w:rPr>
                  <w:rStyle w:val="Hyperlink"/>
                  <w:rFonts w:ascii="Calibri" w:cs="Arial" w:eastAsia="Calibri" w:hAnsi="Calibri"/>
                </w:rPr>
                <w:t xml:space="preserve">doi.org/10.1108/IJSHE-04-2022-0121</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Emerald)</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‎7‎</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‎Kiehle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kf7rdr1eaesfbp70g-zrr">
              <w:r>
                <w:rPr>
                  <w:rStyle w:val="Hyperlink"/>
                  <w:rFonts w:ascii="Calibri" w:cs="Arial" w:eastAsia="Calibri" w:hAnsi="Calibri"/>
                </w:rPr>
                <w:t xml:space="preserve">doi.org/10.1016/j.jenvman.2022.117056</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CC BY)</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‎8‎</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‎Deda, Gervásio and Quina‎</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‎2025‎</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hytrjdnerm0hv95blxo1g">
              <w:r>
                <w:rPr>
                  <w:rStyle w:val="Hyperlink"/>
                  <w:rFonts w:ascii="Calibri" w:cs="Arial" w:eastAsia="Calibri" w:hAnsi="Calibri"/>
                </w:rPr>
                <w:t xml:space="preserve">doi.org/10.1007/s11367-025-02514-y</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Pr>
              <w:t xml:space="preserve">Springer</w:t>
            </w:r>
            <w:r>
              <w:rPr>
                <w:rFonts w:ascii="Calibri" w:cs="Arial" w:eastAsia="Calibri" w:hAnsi="Calibri"/>
                <w:sz w:val="18"/>
                <w:szCs w:val="18"/>
                <w:rtl/>
              </w:rPr>
              <w:t xml:space="preserve"> (من خلال حساب مكتبة الجامعة)</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‎9‎</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‎Abdelbasier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qvh4ow-9pyoh0henqckm9">
              <w:r>
                <w:rPr>
                  <w:rStyle w:val="Hyperlink"/>
                  <w:rFonts w:ascii="Calibri" w:cs="Arial" w:eastAsia="Calibri" w:hAnsi="Calibri"/>
                </w:rPr>
                <w:t xml:space="preserve">jes.journals.ekb.eg/article_295030.html</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متاح على بنك المعرفة المصري (</w:t>
            </w:r>
            <w:r>
              <w:rPr>
                <w:rFonts w:ascii="Calibri" w:cs="Arial" w:eastAsia="Calibri" w:hAnsi="Calibri"/>
                <w:sz w:val="18"/>
                <w:szCs w:val="18"/>
              </w:rPr>
              <w:t xml:space="preserve">EKB)</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‎10‎</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‎Yañez, Sinha and Vásquez‎</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‎2020‎</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x5n5bcd3wx0ucy4rwvzf7">
              <w:r>
                <w:rPr>
                  <w:rStyle w:val="Hyperlink"/>
                  <w:rFonts w:ascii="Calibri" w:cs="Arial" w:eastAsia="Calibri" w:hAnsi="Calibri"/>
                </w:rPr>
                <w:t xml:space="preserve">doi.org/10.3390/su12010181</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‎11‎</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‎Clabeaux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‎2020‎</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lzgenexvoyad4yrj8zzff">
              <w:r>
                <w:rPr>
                  <w:rStyle w:val="Hyperlink"/>
                  <w:rFonts w:ascii="Calibri" w:cs="Arial" w:eastAsia="Calibri" w:hAnsi="Calibri"/>
                </w:rPr>
                <w:t xml:space="preserve">cecas.clemson.edu/ladnergroup/blog/wp-content/uploads/2020/07/Clabeaux-et-al-2020-CO2-Footprint-Journal-Cleaner-Production.pdf</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مجانية من المؤلفين (</w:t>
            </w:r>
            <w:r>
              <w:rPr>
                <w:rFonts w:ascii="Calibri" w:cs="Arial" w:eastAsia="Calibri" w:hAnsi="Calibri"/>
                <w:sz w:val="18"/>
                <w:szCs w:val="18"/>
              </w:rPr>
              <w:t xml:space="preserve">Clemson)</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‎12‎</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‎Filimonau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b8uun6euntnw3eqrjpvp5">
              <w:r>
                <w:rPr>
                  <w:rStyle w:val="Hyperlink"/>
                  <w:rFonts w:ascii="Calibri" w:cs="Arial" w:eastAsia="Calibri" w:hAnsi="Calibri"/>
                </w:rPr>
                <w:t xml:space="preserve">eprints.bournemouth.ac.uk/34947/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مجانية على مستودع جامعة </w:t>
            </w:r>
            <w:r>
              <w:rPr>
                <w:rFonts w:ascii="Calibri" w:cs="Arial" w:eastAsia="Calibri" w:hAnsi="Calibri"/>
                <w:sz w:val="18"/>
                <w:szCs w:val="18"/>
              </w:rPr>
              <w:t xml:space="preserve">Bournemouth</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‎13‎</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‎Mustafa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iprcp8z7gpose50eldpww">
              <w:r>
                <w:rPr>
                  <w:rStyle w:val="Hyperlink"/>
                  <w:rFonts w:ascii="Calibri" w:cs="Arial" w:eastAsia="Calibri" w:hAnsi="Calibri"/>
                </w:rPr>
                <w:t xml:space="preserve">doi.org/10.3390/su14020794</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‎14‎</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‎Cano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itcbkb8r8b3pgtqmm5mxa">
              <w:r>
                <w:rPr>
                  <w:rStyle w:val="Hyperlink"/>
                  <w:rFonts w:ascii="Calibri" w:cs="Arial" w:eastAsia="Calibri" w:hAnsi="Calibri"/>
                </w:rPr>
                <w:t xml:space="preserve">www.ncbi.nlm.nih.gov/pmc/articles/PMC9374572/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PubMed Central)</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‎15‎</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‎Osorio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johkpsrdguogrrgasynbk">
              <w:r>
                <w:rPr>
                  <w:rStyle w:val="Hyperlink"/>
                  <w:rFonts w:ascii="Calibri" w:cs="Arial" w:eastAsia="Calibri" w:hAnsi="Calibri"/>
                </w:rPr>
                <w:t xml:space="preserve">doi.org/10.3390/su14031774</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‎16‎</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‎Battistini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gofp8_xu4ti0dvwiqxuxh">
              <w:r>
                <w:rPr>
                  <w:rStyle w:val="Hyperlink"/>
                  <w:rFonts w:ascii="Calibri" w:cs="Arial" w:eastAsia="Calibri" w:hAnsi="Calibri"/>
                </w:rPr>
                <w:t xml:space="preserve">doi.org/10.3390/en16010166</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‎17‎</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‎Ahonen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‎2024‎</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fzu-m0sp9hdu107czhxzb">
              <w:r>
                <w:rPr>
                  <w:rStyle w:val="Hyperlink"/>
                  <w:rFonts w:ascii="Calibri" w:cs="Arial" w:eastAsia="Calibri" w:hAnsi="Calibri"/>
                </w:rPr>
                <w:t xml:space="preserve">doi.org/10.1108/IJSHE-11-2023-0515</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CC BY)</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‎18‎</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‎Rus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‎2025‎</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x0oaz8im0sfixvs1zwaxq">
              <w:r>
                <w:rPr>
                  <w:rStyle w:val="Hyperlink"/>
                  <w:rFonts w:ascii="Calibri" w:cs="Arial" w:eastAsia="Calibri" w:hAnsi="Calibri"/>
                </w:rPr>
                <w:t xml:space="preserve">doi.org/10.3390/app15073695</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‎19‎</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‎Yang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‎2025‎</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_0awpdtuthvticuskhrro">
              <w:r>
                <w:rPr>
                  <w:rStyle w:val="Hyperlink"/>
                  <w:rFonts w:ascii="Calibri" w:cs="Arial" w:eastAsia="Calibri" w:hAnsi="Calibri"/>
                </w:rPr>
                <w:t xml:space="preserve">doi.org/10.1371/journal.pone.0321216</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‎Wagner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g-xirxutawxs4kka2dnr0">
              <w:r>
                <w:rPr>
                  <w:rStyle w:val="Hyperlink"/>
                  <w:rFonts w:ascii="Calibri" w:cs="Arial" w:eastAsia="Calibri" w:hAnsi="Calibri"/>
                </w:rPr>
                <w:t xml:space="preserve">doi.org/10.3390/en14248558</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‎21‎</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‎Adhikari and Pokhrel‎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‎2025‎</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15fa1hmueehuf1_u4dzq3">
              <w:r>
                <w:rPr>
                  <w:rStyle w:val="Hyperlink"/>
                  <w:rFonts w:ascii="Calibri" w:cs="Arial" w:eastAsia="Calibri" w:hAnsi="Calibri"/>
                </w:rPr>
                <w:t xml:space="preserve">www.nepjol.info/index.php/hijase/article/view/74787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NepJOL)</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‎22‎</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‎Badr, El Beheary and Hassan‎</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‎2026‎</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sy0zqcywezxsoeakjahyr">
              <w:r>
                <w:rPr>
                  <w:rStyle w:val="Hyperlink"/>
                  <w:rFonts w:ascii="Calibri" w:cs="Arial" w:eastAsia="Calibri" w:hAnsi="Calibri"/>
                </w:rPr>
                <w:t xml:space="preserve">doi.org/10.56082/annalsarscibio.2026.1.191</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موقع المجلة (</w:t>
            </w:r>
            <w:r>
              <w:rPr>
                <w:rFonts w:ascii="Calibri" w:cs="Arial" w:eastAsia="Calibri" w:hAnsi="Calibri"/>
                <w:sz w:val="18"/>
                <w:szCs w:val="18"/>
              </w:rPr>
              <w:t xml:space="preserve">aos.ro)</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‎23‎</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‎Safwat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‎2024‎</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c3wzfjnbntcwgxihrzuzo">
              <w:r>
                <w:rPr>
                  <w:rStyle w:val="Hyperlink"/>
                  <w:rFonts w:ascii="Calibri" w:cs="Arial" w:eastAsia="Calibri" w:hAnsi="Calibri"/>
                </w:rPr>
                <w:t xml:space="preserve">doi.org/10.1080/16874048.2024.2345553</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(وأيضًا </w:t>
            </w:r>
            <w:r>
              <w:rPr>
                <w:rFonts w:ascii="Calibri" w:cs="Arial" w:eastAsia="Calibri" w:hAnsi="Calibri"/>
                <w:sz w:val="18"/>
                <w:szCs w:val="18"/>
              </w:rPr>
              <w:t xml:space="preserve">openresearch.lsbu.ac.uk/item/97z76)</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‎24‎</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‎Hamada, Hong and Raslan‎</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‎2025‎</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efh6mia-s4jmhj1qosiok">
              <w:r>
                <w:rPr>
                  <w:rStyle w:val="Hyperlink"/>
                  <w:rFonts w:ascii="Calibri" w:cs="Arial" w:eastAsia="Calibri" w:hAnsi="Calibri"/>
                </w:rPr>
                <w:t xml:space="preserve">discovery.ucl.ac.uk/id/eprint/10211499</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مفتوحة على </w:t>
            </w:r>
            <w:r>
              <w:rPr>
                <w:rFonts w:ascii="Calibri" w:cs="Arial" w:eastAsia="Calibri" w:hAnsi="Calibri"/>
                <w:sz w:val="18"/>
                <w:szCs w:val="18"/>
              </w:rPr>
              <w:t xml:space="preserve">UCL Discovery</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‎25‎</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‎García-Monge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cu3sa_d0n54drnertjeri">
              <w:r>
                <w:rPr>
                  <w:rStyle w:val="Hyperlink"/>
                  <w:rFonts w:ascii="Calibri" w:cs="Arial" w:eastAsia="Calibri" w:hAnsi="Calibri"/>
                </w:rPr>
                <w:t xml:space="preserve">doi.org/10.1016/j.enbuild.2023.112882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على مستودع جامعة </w:t>
            </w:r>
            <w:r>
              <w:rPr>
                <w:rFonts w:ascii="Calibri" w:cs="Arial" w:eastAsia="Calibri" w:hAnsi="Calibri"/>
                <w:sz w:val="18"/>
                <w:szCs w:val="18"/>
              </w:rPr>
              <w:t xml:space="preserve">Zaragoza: zaguan.unizar.es/record/130169</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‎26‎</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‎Akenji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kntndhljwknmg8ojeqck-">
              <w:r>
                <w:rPr>
                  <w:rStyle w:val="Hyperlink"/>
                  <w:rFonts w:ascii="Calibri" w:cs="Arial" w:eastAsia="Calibri" w:hAnsi="Calibri"/>
                </w:rPr>
                <w:t xml:space="preserve">hotorcool.org/1-5-degree-lifestyles-report</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تحميل مجاني من موقع المعهد</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‎27‎</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‎Crippa et al. (EDGAR)‎</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‎2024‎</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hgis4io5pm31rflm0_i3_">
              <w:r>
                <w:rPr>
                  <w:rStyle w:val="Hyperlink"/>
                  <w:rFonts w:ascii="Calibri" w:cs="Arial" w:eastAsia="Calibri" w:hAnsi="Calibri"/>
                </w:rPr>
                <w:t xml:space="preserve">data.europa.eu/doi/10.2760/4002897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مجاني</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‎28‎</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‎Ajufo and Bekaroo‎</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mazhdysjzphnr8n4a0dpv">
              <w:r>
                <w:rPr>
                  <w:rStyle w:val="Hyperlink"/>
                  <w:rFonts w:ascii="Calibri" w:cs="Arial" w:eastAsia="Calibri" w:hAnsi="Calibri"/>
                </w:rPr>
                <w:t xml:space="preserve">doi.org/10.1145/3487923.3487935</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مكتبة </w:t>
            </w:r>
            <w:r>
              <w:rPr>
                <w:rFonts w:ascii="Calibri" w:cs="Arial" w:eastAsia="Calibri" w:hAnsi="Calibri"/>
                <w:sz w:val="18"/>
                <w:szCs w:val="18"/>
              </w:rPr>
              <w:t xml:space="preserve">ACM</w:t>
            </w:r>
            <w:r>
              <w:rPr>
                <w:rFonts w:ascii="Calibri" w:cs="Arial" w:eastAsia="Calibri" w:hAnsi="Calibri"/>
                <w:sz w:val="18"/>
                <w:szCs w:val="18"/>
                <w:rtl/>
              </w:rPr>
              <w:t xml:space="preserve"> الرقمية (من خلال حساب مكتبة الجامعة)</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‎29‎</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‎Bekaroo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ivgz5iozd3qhsdxztv6nm">
              <w:r>
                <w:rPr>
                  <w:rStyle w:val="Hyperlink"/>
                  <w:rFonts w:ascii="Calibri" w:cs="Arial" w:eastAsia="Calibri" w:hAnsi="Calibri"/>
                </w:rPr>
                <w:t xml:space="preserve">doi.org/10.1007/s11356-020-11179-z</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مجانية من المؤلف: </w:t>
            </w:r>
            <w:r>
              <w:rPr>
                <w:rFonts w:ascii="Calibri" w:cs="Arial" w:eastAsia="Calibri" w:hAnsi="Calibri"/>
                <w:sz w:val="18"/>
                <w:szCs w:val="18"/>
              </w:rPr>
              <w:t xml:space="preserve">repository.mdx.ac.uk/item/8929y</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‎30‎</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‎Zhang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‎2026‎</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vgupzfhbwovjgtalyau4k">
              <w:r>
                <w:rPr>
                  <w:rStyle w:val="Hyperlink"/>
                  <w:rFonts w:ascii="Calibri" w:cs="Arial" w:eastAsia="Calibri" w:hAnsi="Calibri"/>
                </w:rPr>
                <w:t xml:space="preserve">arxiv.org/abs/2603.00340</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مجاني على </w:t>
            </w:r>
            <w:r>
              <w:rPr>
                <w:rFonts w:ascii="Calibri" w:cs="Arial" w:eastAsia="Calibri" w:hAnsi="Calibri"/>
                <w:sz w:val="18"/>
                <w:szCs w:val="18"/>
              </w:rPr>
              <w:t xml:space="preserve">arXiv</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‎31‎</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‎Sadeghian, Håkansson and Zhao‎</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vvw6mnycpv77rhfrdydp1">
              <w:r>
                <w:rPr>
                  <w:rStyle w:val="Hyperlink"/>
                  <w:rFonts w:ascii="Calibri" w:cs="Arial" w:eastAsia="Calibri" w:hAnsi="Calibri"/>
                </w:rPr>
                <w:t xml:space="preserve">doaj.org/article/cedcdc9d16f541aaa07a5c67ef7f5d2b</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‎32‎</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‎Wang et al. (SHL)‎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kszexvyeb5iutaqceayr">
              <w:r>
                <w:rPr>
                  <w:rStyle w:val="Hyperlink"/>
                  <w:rFonts w:ascii="Calibri" w:cs="Arial" w:eastAsia="Calibri" w:hAnsi="Calibri"/>
                </w:rPr>
                <w:t xml:space="preserve">doi.org/10.3389/fcomp.2021.713719</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‎33‎</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‎Wang and Jiang‎</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hjco5fms_7swjfcvrqisn">
              <w:r>
                <w:rPr>
                  <w:rStyle w:val="Hyperlink"/>
                  <w:rFonts w:ascii="Calibri" w:cs="Arial" w:eastAsia="Calibri" w:hAnsi="Calibri"/>
                </w:rPr>
                <w:t xml:space="preserve">doi.org/10.3390/s22176712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‎34‎</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‎Tahir and Loo‎</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itfssnsx7drh_h6mijzgd">
              <w:r>
                <w:rPr>
                  <w:rStyle w:val="Hyperlink"/>
                  <w:rFonts w:ascii="Calibri" w:cs="Arial" w:eastAsia="Calibri" w:hAnsi="Calibri"/>
                </w:rPr>
                <w:t xml:space="preserve">doi.org/10.3390/healthcare9121676</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(وأيضًا </w:t>
            </w:r>
            <w:r>
              <w:rPr>
                <w:rFonts w:ascii="Calibri" w:cs="Arial" w:eastAsia="Calibri" w:hAnsi="Calibri"/>
                <w:sz w:val="18"/>
                <w:szCs w:val="18"/>
              </w:rPr>
              <w:t xml:space="preserve">arXiv:2106.11776)</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‎35‎</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‎Dalakleidi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‎2022‎</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kdghwq2xpelh4nnblttcp">
              <w:r>
                <w:rPr>
                  <w:rStyle w:val="Hyperlink"/>
                  <w:rFonts w:ascii="Calibri" w:cs="Arial" w:eastAsia="Calibri" w:hAnsi="Calibri"/>
                </w:rPr>
                <w:t xml:space="preserve">www.ncbi.nlm.nih.gov/pmc/articles/PMC9776640/</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PubMed Central)</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‎36‎</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‎Ismail and Sahari‎</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‎2024‎</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jvjoe77lixmwfpacfkobr">
              <w:r>
                <w:rPr>
                  <w:rStyle w:val="Hyperlink"/>
                  <w:rFonts w:ascii="Calibri" w:cs="Arial" w:eastAsia="Calibri" w:hAnsi="Calibri"/>
                </w:rPr>
                <w:t xml:space="preserve">penerbit.uthm.edu.my/periodicals/index.php/peat/article/view/14767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مفتوح المصدر (</w:t>
            </w:r>
            <w:r>
              <w:rPr>
                <w:rFonts w:ascii="Calibri" w:cs="Arial" w:eastAsia="Calibri" w:hAnsi="Calibri"/>
                <w:sz w:val="18"/>
                <w:szCs w:val="18"/>
              </w:rPr>
              <w:t xml:space="preserve">Open access)</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‎37‎</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‎Miller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‎2020‎</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ubmo-thvolq4colqvcffy">
              <w:r>
                <w:rPr>
                  <w:rStyle w:val="Hyperlink"/>
                  <w:rFonts w:ascii="Calibri" w:cs="Arial" w:eastAsia="Calibri" w:hAnsi="Calibri"/>
                </w:rPr>
                <w:t xml:space="preserve">arxiv.org/abs/2007.06933</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مجاني على </w:t>
            </w:r>
            <w:r>
              <w:rPr>
                <w:rFonts w:ascii="Calibri" w:cs="Arial" w:eastAsia="Calibri" w:hAnsi="Calibri"/>
                <w:sz w:val="18"/>
                <w:szCs w:val="18"/>
              </w:rPr>
              <w:t xml:space="preserve">arXiv</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‎38‎</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‎Anand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tzjjw8c_ucyaiiufpmwq8">
              <w:r>
                <w:rPr>
                  <w:rStyle w:val="Hyperlink"/>
                  <w:rFonts w:ascii="Calibri" w:cs="Arial" w:eastAsia="Calibri" w:hAnsi="Calibri"/>
                </w:rPr>
                <w:t xml:space="preserve">doi.org/10.1016/j.enbuild.2021.111478</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سجل على مستودع </w:t>
            </w:r>
            <w:r>
              <w:rPr>
                <w:rFonts w:ascii="Calibri" w:cs="Arial" w:eastAsia="Calibri" w:hAnsi="Calibri"/>
                <w:sz w:val="18"/>
                <w:szCs w:val="18"/>
              </w:rPr>
              <w:t xml:space="preserve">ETH Zurich: research-collection.ethz.ch</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‎39‎</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‎Himeur et al.‎</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‎2021‎</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eh15h68ms7w0numbfgt4u">
              <w:r>
                <w:rPr>
                  <w:rStyle w:val="Hyperlink"/>
                  <w:rFonts w:ascii="Calibri" w:cs="Arial" w:eastAsia="Calibri" w:hAnsi="Calibri"/>
                </w:rPr>
                <w:t xml:space="preserve">arxiv.org/abs/2010.04560</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نسخة مجانية على </w:t>
            </w:r>
            <w:r>
              <w:rPr>
                <w:rFonts w:ascii="Calibri" w:cs="Arial" w:eastAsia="Calibri" w:hAnsi="Calibri"/>
                <w:sz w:val="18"/>
                <w:szCs w:val="18"/>
              </w:rPr>
              <w:t xml:space="preserve">arXiv</w:t>
            </w:r>
          </w:p>
        </w:tc>
      </w:tr>
      <w:tr>
        <w:trPr>
          <w:cantSplit/>
          <w:tblHeader w:val="false"/>
        </w:trPr>
        <w:tc>
          <w:tcPr>
            <w:tcW w:type="dxa" w:w="4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‎40‎</w:t>
            </w:r>
          </w:p>
        </w:tc>
        <w:tc>
          <w:tcPr>
            <w:tcW w:type="dxa" w:w="22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‎Azad, Rajabi and Estebsari‎</w:t>
            </w:r>
          </w:p>
        </w:tc>
        <w:tc>
          <w:tcPr>
            <w:tcW w:type="dxa" w:w="8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rPr>
              <w:t xml:space="preserve">‎2023‎</w:t>
            </w:r>
          </w:p>
        </w:tc>
        <w:tc>
          <w:tcPr>
            <w:tcW w:type="dxa" w:w="335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hyperlink w:history="1" r:id="rIdspg9-qop0w_x9hwdk-jcv">
              <w:r>
                <w:rPr>
                  <w:rStyle w:val="Hyperlink"/>
                  <w:rFonts w:ascii="Calibri" w:cs="Arial" w:eastAsia="Calibri" w:hAnsi="Calibri"/>
                </w:rPr>
                <w:t xml:space="preserve">arxiv.org/abs/2306.05017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bidi/>
              <w:spacing w:after="0" w:line="270"/>
            </w:pPr>
            <w:r>
              <w:rPr>
                <w:rFonts w:ascii="Calibri" w:cs="Arial" w:eastAsia="Calibri" w:hAnsi="Calibri"/>
                <w:sz w:val="18"/>
                <w:szCs w:val="18"/>
                <w:rtl/>
              </w:rPr>
              <w:t xml:space="preserve">مجاني على </w:t>
            </w:r>
            <w:r>
              <w:rPr>
                <w:rFonts w:ascii="Calibri" w:cs="Arial" w:eastAsia="Calibri" w:hAnsi="Calibri"/>
                <w:sz w:val="18"/>
                <w:szCs w:val="18"/>
              </w:rPr>
              <w:t xml:space="preserve">arXiv</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libri" w:cs="Arial" w:eastAsia="Calibri" w:hAnsi="Calibri"/>
        <w:color w:val="5F6E68"/>
        <w:sz w:val="16"/>
        <w:szCs w:val="16"/>
        <w:rtl/>
      </w:rPr>
      <w:t xml:space="preserve">قياس البصمة الكربونية للمنشآت التعليمية · صفحة </w:t>
    </w:r>
    <w:r>
      <w:rPr>
        <w:rFonts w:ascii="Calibri" w:cs="Arial" w:eastAsia="Calibri" w:hAnsi="Calibri"/>
        <w:color w:val="5F6E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540" w:hanging="300"/>
      </w:pPr>
    </w:lvl>
  </w:abstractNum>
  <w:abstractNum w:abstractNumId="3" w15:restartNumberingAfterBreak="0">
    <w:multiLevelType w:val="hybridMultilevel"/>
    <w:lvl w:ilvl="0" w15:tentative="1">
      <w:start w:val="1"/>
      <w:numFmt w:val="decimal"/>
      <w:lvlText w:val="%1."/>
      <w:lvlJc w:val="left"/>
      <w:pPr>
        <w:ind w:star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Arial" w:eastAsia="Calibri" w:hAnsi="Calibri"/>
        <w:color w:val="333F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Calibri" w:cs="Arial" w:eastAsia="Calibri" w:hAnsi="Calibri"/>
      <w:b/>
      <w:bCs/>
      <w:color w:val="14302A"/>
      <w:sz w:val="32"/>
      <w:szCs w:val="32"/>
    </w:rPr>
  </w:style>
  <w:style w:type="paragraph" w:styleId="Heading2">
    <w:name w:val="Heading 2"/>
    <w:basedOn w:val="Normal"/>
    <w:next w:val="Normal"/>
    <w:qFormat/>
    <w:pPr>
      <w:keepNext/>
      <w:spacing w:after="120" w:before="260"/>
      <w:outlineLvl w:val="1"/>
    </w:pPr>
    <w:rPr>
      <w:rFonts w:ascii="Calibri" w:cs="Arial" w:eastAsia="Calibri" w:hAnsi="Calibri"/>
      <w:b/>
      <w:bCs/>
      <w:color w:val="14302A"/>
      <w:sz w:val="26"/>
      <w:szCs w:val="26"/>
    </w:rPr>
  </w:style>
  <w:style w:type="paragraph" w:styleId="Heading3">
    <w:name w:val="Heading 3"/>
    <w:basedOn w:val="Normal"/>
    <w:next w:val="Normal"/>
    <w:qFormat/>
    <w:pPr>
      <w:keepNext/>
      <w:spacing w:after="80" w:before="200"/>
      <w:outlineLvl w:val="2"/>
    </w:pPr>
    <w:rPr>
      <w:rFonts w:ascii="Calibri" w:cs="Arial" w:eastAsia="Calibri" w:hAnsi="Calibri"/>
      <w:b/>
      <w:bCs/>
      <w:color w:val="2F7D5B"/>
      <w:sz w:val="23"/>
      <w:szCs w:val="23"/>
    </w:rPr>
  </w:style>
  <w:style w:type="character" w:styleId="Hyperlink">
    <w:name w:val="Hyperlink"/>
    <w:basedOn w:val="DefaultParagraphFont"/>
    <w:uiPriority w:val="99"/>
    <w:unhideWhenUsed/>
    <w:rPr>
      <w:color w:val="2F7D5B"/>
      <w:u w:val="single" w:color="2F7D5B"/>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mruulddhuwwy1uves-ki" Type="http://schemas.openxmlformats.org/officeDocument/2006/relationships/hyperlink" Target="https://doi.org/10.1007/s10098-021-02180-2" TargetMode="External"/><Relationship Id="rIdbni1gr7dbbhpc1fzanorn" Type="http://schemas.openxmlformats.org/officeDocument/2006/relationships/hyperlink" Target="https://doi.org/10.1016/j.jclepro.2020.125642" TargetMode="External"/><Relationship Id="rIda0rjizwqzt3n_xkvrgypp" Type="http://schemas.openxmlformats.org/officeDocument/2006/relationships/hyperlink" Target="https://doi.org/10.1186/s12302-021-00454-6" TargetMode="External"/><Relationship Id="rId1hnkwwmbo2cb_ixhrhmot" Type="http://schemas.openxmlformats.org/officeDocument/2006/relationships/hyperlink" Target="https://doi.org/10.1016/j.spc.2021.11.020" TargetMode="External"/><Relationship Id="rId8msoccglkcz9vnfh4hli1" Type="http://schemas.openxmlformats.org/officeDocument/2006/relationships/hyperlink" Target="https://doi.org/10.3390/ijerph191710964" TargetMode="External"/><Relationship Id="rId0h9tv9b3o_8ypb0bbltrr" Type="http://schemas.openxmlformats.org/officeDocument/2006/relationships/hyperlink" Target="https://doi.org/10.1108/IJSHE-04-2022-0121" TargetMode="External"/><Relationship Id="rId1trofxfbf3qmm1s9h8zji" Type="http://schemas.openxmlformats.org/officeDocument/2006/relationships/hyperlink" Target="https://doi.org/10.1016/j.jenvman.2022.117056" TargetMode="External"/><Relationship Id="rIdjpoikd5zkrtowk9mlhqff" Type="http://schemas.openxmlformats.org/officeDocument/2006/relationships/hyperlink" Target="https://doi.org/10.1007/s11367-025-02514-y" TargetMode="External"/><Relationship Id="rIdhmdavyjszn12mjcy22h5w" Type="http://schemas.openxmlformats.org/officeDocument/2006/relationships/hyperlink" Target="https://jes.journals.ekb.eg/article_295030.html" TargetMode="External"/><Relationship Id="rId5brn3bbxihy9rzanpucnc" Type="http://schemas.openxmlformats.org/officeDocument/2006/relationships/hyperlink" Target="https://doi.org/10.3390/su12010181" TargetMode="External"/><Relationship Id="rIdok3qfm5ssthv6jsdebdqv" Type="http://schemas.openxmlformats.org/officeDocument/2006/relationships/hyperlink" Target="https://cecas.clemson.edu/ladnergroup/blog/wp-content/uploads/2020/07/Clabeaux-et-al-2020-CO2-Footprint-Journal-Cleaner-Production.pdf" TargetMode="External"/><Relationship Id="rIdv_lvbakmlvclxb1pxozsc" Type="http://schemas.openxmlformats.org/officeDocument/2006/relationships/hyperlink" Target="https://eprints.bournemouth.ac.uk/34947/" TargetMode="External"/><Relationship Id="rId6myub7fuzf4iu4ettwzes" Type="http://schemas.openxmlformats.org/officeDocument/2006/relationships/hyperlink" Target="https://doi.org/10.3390/su14020794" TargetMode="External"/><Relationship Id="rIdcwb5nnlx3dyztrdmxexwt" Type="http://schemas.openxmlformats.org/officeDocument/2006/relationships/hyperlink" Target="https://www.ncbi.nlm.nih.gov/pmc/articles/PMC9374572/" TargetMode="External"/><Relationship Id="rId5bhhufksnqn1ectu97dsm" Type="http://schemas.openxmlformats.org/officeDocument/2006/relationships/hyperlink" Target="https://doi.org/10.3390/su14031774" TargetMode="External"/><Relationship Id="rIdgm6q5qaqrh6hsrk7ai0ft" Type="http://schemas.openxmlformats.org/officeDocument/2006/relationships/hyperlink" Target="https://doi.org/10.3390/en16010166" TargetMode="External"/><Relationship Id="rIdjthmcaraiow1twpxyatuh" Type="http://schemas.openxmlformats.org/officeDocument/2006/relationships/hyperlink" Target="https://doi.org/10.1108/IJSHE-11-2023-0515" TargetMode="External"/><Relationship Id="rId5w03p3tocvy35jeyj2l4w" Type="http://schemas.openxmlformats.org/officeDocument/2006/relationships/hyperlink" Target="https://doi.org/10.3390/app15073695" TargetMode="External"/><Relationship Id="rIdws7gvmn0rs7lsrvhzwmsn" Type="http://schemas.openxmlformats.org/officeDocument/2006/relationships/hyperlink" Target="https://doi.org/10.1371/journal.pone.0321216" TargetMode="External"/><Relationship Id="rId-uqmpo1snuhqjbyyy-23o" Type="http://schemas.openxmlformats.org/officeDocument/2006/relationships/hyperlink" Target="https://doi.org/10.3390/en14248558" TargetMode="External"/><Relationship Id="rId030jzxqaknvqp_tjxk7yy" Type="http://schemas.openxmlformats.org/officeDocument/2006/relationships/hyperlink" Target="https://www.nepjol.info/index.php/hijase/article/view/74787" TargetMode="External"/><Relationship Id="rIdxet00pmnzm23kastystmj" Type="http://schemas.openxmlformats.org/officeDocument/2006/relationships/hyperlink" Target="https://doi.org/10.56082/annalsarscibio.2026.1.191" TargetMode="External"/><Relationship Id="rIdkxdywq6palkffbdtmyebe" Type="http://schemas.openxmlformats.org/officeDocument/2006/relationships/hyperlink" Target="https://doi.org/10.1080/16874048.2024.2345553" TargetMode="External"/><Relationship Id="rIdt9vsyu-zadded6uyoszd6" Type="http://schemas.openxmlformats.org/officeDocument/2006/relationships/hyperlink" Target="https://discovery.ucl.ac.uk/id/eprint/10211499" TargetMode="External"/><Relationship Id="rIdf-785bk1i7keh9vcwwbpb" Type="http://schemas.openxmlformats.org/officeDocument/2006/relationships/hyperlink" Target="https://doi.org/10.1016/j.enbuild.2023.112882" TargetMode="External"/><Relationship Id="rId8u5bdl29sppo2fpv5s9ds" Type="http://schemas.openxmlformats.org/officeDocument/2006/relationships/hyperlink" Target="https://hotorcool.org/1-5-degree-lifestyles-report" TargetMode="External"/><Relationship Id="rIdpeau5cvo6kn2qibs8xxn8" Type="http://schemas.openxmlformats.org/officeDocument/2006/relationships/hyperlink" Target="https://data.europa.eu/doi/10.2760/4002897" TargetMode="External"/><Relationship Id="rId232yd6mmqz4pnneneb_r-" Type="http://schemas.openxmlformats.org/officeDocument/2006/relationships/hyperlink" Target="https://doi.org/10.1145/3487923.3487935" TargetMode="External"/><Relationship Id="rIdjl61bspawyt2ss9ig2upk" Type="http://schemas.openxmlformats.org/officeDocument/2006/relationships/hyperlink" Target="https://doi.org/10.1007/s11356-020-11179-z" TargetMode="External"/><Relationship Id="rIdfzjsucqweur4rursmxnwd" Type="http://schemas.openxmlformats.org/officeDocument/2006/relationships/hyperlink" Target="https://arxiv.org/abs/2603.00340" TargetMode="External"/><Relationship Id="rIdvp1zd-3ql5ghziewgilfz" Type="http://schemas.openxmlformats.org/officeDocument/2006/relationships/hyperlink" Target="https://doaj.org/article/cedcdc9d16f541aaa07a5c67ef7f5d2b" TargetMode="External"/><Relationship Id="rIdpcockamwwgabstluosf-m" Type="http://schemas.openxmlformats.org/officeDocument/2006/relationships/hyperlink" Target="https://doi.org/10.3389/fcomp.2021.713719" TargetMode="External"/><Relationship Id="rId61d_nynvdvsli80wmtcx0" Type="http://schemas.openxmlformats.org/officeDocument/2006/relationships/hyperlink" Target="https://doi.org/10.3390/s22176712" TargetMode="External"/><Relationship Id="rIdneurxegn52nhlri6h-bka" Type="http://schemas.openxmlformats.org/officeDocument/2006/relationships/hyperlink" Target="https://doi.org/10.3390/healthcare9121676" TargetMode="External"/><Relationship Id="rIddehsuhccgwj4xcpyfbgyl" Type="http://schemas.openxmlformats.org/officeDocument/2006/relationships/hyperlink" Target="https://www.ncbi.nlm.nih.gov/pmc/articles/PMC9776640/" TargetMode="External"/><Relationship Id="rIdlq73lbus7igzr09csknee" Type="http://schemas.openxmlformats.org/officeDocument/2006/relationships/hyperlink" Target="https://penerbit.uthm.edu.my/periodicals/index.php/peat/article/view/14767" TargetMode="External"/><Relationship Id="rIdlurklfoozfbw7w6qgs0bp" Type="http://schemas.openxmlformats.org/officeDocument/2006/relationships/hyperlink" Target="https://arxiv.org/abs/2007.06933" TargetMode="External"/><Relationship Id="rId46yr-kqizj7nbpe1brtm4" Type="http://schemas.openxmlformats.org/officeDocument/2006/relationships/hyperlink" Target="https://doi.org/10.1016/j.enbuild.2021.111478" TargetMode="External"/><Relationship Id="rId4fzncufxnblftzu64bbj3" Type="http://schemas.openxmlformats.org/officeDocument/2006/relationships/hyperlink" Target="https://arxiv.org/abs/2010.04560" TargetMode="External"/><Relationship Id="rId5a8hkqgbkctaboswww9dv" Type="http://schemas.openxmlformats.org/officeDocument/2006/relationships/hyperlink" Target="https://arxiv.org/abs/2306.05017" TargetMode="External"/><Relationship Id="rIdqrqcpz8llpmduxzuuuu_c" Type="http://schemas.openxmlformats.org/officeDocument/2006/relationships/hyperlink" Target="https://doi.org/10.1007/s10098-021-02180-2" TargetMode="External"/><Relationship Id="rIdhszzs3kax1bohxiluk-ly" Type="http://schemas.openxmlformats.org/officeDocument/2006/relationships/hyperlink" Target="https://doi.org/10.1016/j.jclepro.2020.125642" TargetMode="External"/><Relationship Id="rIdhjiqpua91qucole2q-wkz" Type="http://schemas.openxmlformats.org/officeDocument/2006/relationships/hyperlink" Target="https://doi.org/10.1186/s12302-021-00454-6" TargetMode="External"/><Relationship Id="rId9gxzg3neibauq0j3g55my" Type="http://schemas.openxmlformats.org/officeDocument/2006/relationships/hyperlink" Target="https://doi.org/10.1016/j.spc.2021.11.020" TargetMode="External"/><Relationship Id="rIdkb6lbolopf5kdxng_hwai" Type="http://schemas.openxmlformats.org/officeDocument/2006/relationships/hyperlink" Target="https://doi.org/10.3390/ijerph191710964" TargetMode="External"/><Relationship Id="rIdtvothl4o5gsvw6skaukl1" Type="http://schemas.openxmlformats.org/officeDocument/2006/relationships/hyperlink" Target="https://doi.org/10.1108/IJSHE-04-2022-0121" TargetMode="External"/><Relationship Id="rIdmrbckc2fjby7mt2ih9fel" Type="http://schemas.openxmlformats.org/officeDocument/2006/relationships/hyperlink" Target="https://doi.org/10.1016/j.jenvman.2022.117056" TargetMode="External"/><Relationship Id="rIdbflwtdbu6pq6iya4wxpmt" Type="http://schemas.openxmlformats.org/officeDocument/2006/relationships/hyperlink" Target="https://doi.org/10.1007/s11367-025-02514-y" TargetMode="External"/><Relationship Id="rIdppbc4fyk-otk4pzkommsc" Type="http://schemas.openxmlformats.org/officeDocument/2006/relationships/hyperlink" Target="https://jes.journals.ekb.eg/article_295030.html" TargetMode="External"/><Relationship Id="rIdoju4mbwgbt87aecm3ik9i" Type="http://schemas.openxmlformats.org/officeDocument/2006/relationships/hyperlink" Target="https://doi.org/10.3390/su12010181" TargetMode="External"/><Relationship Id="rIdvpsaedocrlcw-x20wxurv" Type="http://schemas.openxmlformats.org/officeDocument/2006/relationships/hyperlink" Target="https://cecas.clemson.edu/ladnergroup/blog/wp-content/uploads/2020/07/Clabeaux-et-al-2020-CO2-Footprint-Journal-Cleaner-Production.pdf" TargetMode="External"/><Relationship Id="rId44pp6ddqgwt0hy9vzk0q2" Type="http://schemas.openxmlformats.org/officeDocument/2006/relationships/hyperlink" Target="https://eprints.bournemouth.ac.uk/34947/" TargetMode="External"/><Relationship Id="rId0dbbe-iecmhwkuc1aaxgi" Type="http://schemas.openxmlformats.org/officeDocument/2006/relationships/hyperlink" Target="https://doi.org/10.3390/su14020794" TargetMode="External"/><Relationship Id="rIdloyqlwlfxxuy_qszyxegq" Type="http://schemas.openxmlformats.org/officeDocument/2006/relationships/hyperlink" Target="https://www.ncbi.nlm.nih.gov/pmc/articles/PMC9374572/" TargetMode="External"/><Relationship Id="rId8tyhv-8qywolwk5ujh5wq" Type="http://schemas.openxmlformats.org/officeDocument/2006/relationships/hyperlink" Target="https://doi.org/10.3390/su14031774" TargetMode="External"/><Relationship Id="rIdz4hud_a0oaqntgikutbs1" Type="http://schemas.openxmlformats.org/officeDocument/2006/relationships/hyperlink" Target="https://doi.org/10.3390/en16010166" TargetMode="External"/><Relationship Id="rIdjmsh9a2xaitryluw1rzut" Type="http://schemas.openxmlformats.org/officeDocument/2006/relationships/hyperlink" Target="https://doi.org/10.1108/IJSHE-11-2023-0515" TargetMode="External"/><Relationship Id="rIda0txycxlqfhhxz4es7rhb" Type="http://schemas.openxmlformats.org/officeDocument/2006/relationships/hyperlink" Target="https://doi.org/10.3390/app15073695" TargetMode="External"/><Relationship Id="rId8equ7ng6v1h2gy6xv6nr3" Type="http://schemas.openxmlformats.org/officeDocument/2006/relationships/hyperlink" Target="https://doi.org/10.1371/journal.pone.0321216" TargetMode="External"/><Relationship Id="rIdiz7d7ruuxpsnqa1snofuo" Type="http://schemas.openxmlformats.org/officeDocument/2006/relationships/hyperlink" Target="https://doi.org/10.3390/en14248558" TargetMode="External"/><Relationship Id="rIdhvxl8qrgwfu3mzxtiedbp" Type="http://schemas.openxmlformats.org/officeDocument/2006/relationships/hyperlink" Target="https://www.nepjol.info/index.php/hijase/article/view/74787" TargetMode="External"/><Relationship Id="rIdzdpdfplhwdurga1yk-hci" Type="http://schemas.openxmlformats.org/officeDocument/2006/relationships/hyperlink" Target="https://doi.org/10.56082/annalsarscibio.2026.1.191" TargetMode="External"/><Relationship Id="rIdijmawycdlyu3utoopej0m" Type="http://schemas.openxmlformats.org/officeDocument/2006/relationships/hyperlink" Target="https://doi.org/10.1080/16874048.2024.2345553" TargetMode="External"/><Relationship Id="rIds9llhvgc-cqivh90fomdk" Type="http://schemas.openxmlformats.org/officeDocument/2006/relationships/hyperlink" Target="https://discovery.ucl.ac.uk/id/eprint/10211499" TargetMode="External"/><Relationship Id="rIdgxyo2rfdgzr0uchbuajsj" Type="http://schemas.openxmlformats.org/officeDocument/2006/relationships/hyperlink" Target="https://doi.org/10.1016/j.enbuild.2023.112882" TargetMode="External"/><Relationship Id="rIdhncfvpmtsz-jf8yzf-cno" Type="http://schemas.openxmlformats.org/officeDocument/2006/relationships/hyperlink" Target="https://hotorcool.org/1-5-degree-lifestyles-report" TargetMode="External"/><Relationship Id="rIdtiwn3_qys2bkhbi0g51rd" Type="http://schemas.openxmlformats.org/officeDocument/2006/relationships/hyperlink" Target="https://data.europa.eu/doi/10.2760/4002897" TargetMode="External"/><Relationship Id="rIds8zetv9gcsjahv5omrqec" Type="http://schemas.openxmlformats.org/officeDocument/2006/relationships/hyperlink" Target="https://doi.org/10.1145/3487923.3487935" TargetMode="External"/><Relationship Id="rIdg1t2uspug26zuab0hfegm" Type="http://schemas.openxmlformats.org/officeDocument/2006/relationships/hyperlink" Target="https://doi.org/10.1007/s11356-020-11179-z" TargetMode="External"/><Relationship Id="rIdt_v_3zqqswreq5dienj1u" Type="http://schemas.openxmlformats.org/officeDocument/2006/relationships/hyperlink" Target="https://arxiv.org/abs/2603.00340" TargetMode="External"/><Relationship Id="rId7ogdmkacsxn4nimqzflxj" Type="http://schemas.openxmlformats.org/officeDocument/2006/relationships/hyperlink" Target="https://doaj.org/article/cedcdc9d16f541aaa07a5c67ef7f5d2b" TargetMode="External"/><Relationship Id="rId-wh1vgk1cat6xljhrhger" Type="http://schemas.openxmlformats.org/officeDocument/2006/relationships/hyperlink" Target="https://doi.org/10.3389/fcomp.2021.713719" TargetMode="External"/><Relationship Id="rIdmdkqytkvxh92ibqr_z9ul" Type="http://schemas.openxmlformats.org/officeDocument/2006/relationships/hyperlink" Target="https://doi.org/10.3390/s22176712" TargetMode="External"/><Relationship Id="rIdczco-xqz9eyuapvhenvfq" Type="http://schemas.openxmlformats.org/officeDocument/2006/relationships/hyperlink" Target="https://doi.org/10.3390/healthcare9121676" TargetMode="External"/><Relationship Id="rId6bgjqsbaqonta3s0sxds6" Type="http://schemas.openxmlformats.org/officeDocument/2006/relationships/hyperlink" Target="https://www.ncbi.nlm.nih.gov/pmc/articles/PMC9776640/" TargetMode="External"/><Relationship Id="rIdft8v-k0leqpgxp8umnisz" Type="http://schemas.openxmlformats.org/officeDocument/2006/relationships/hyperlink" Target="https://penerbit.uthm.edu.my/periodicals/index.php/peat/article/view/14767" TargetMode="External"/><Relationship Id="rIdyfuub9gdwdqzmqspzpk2w" Type="http://schemas.openxmlformats.org/officeDocument/2006/relationships/hyperlink" Target="https://arxiv.org/abs/2007.06933" TargetMode="External"/><Relationship Id="rIdhkuzomfdhm-2vurcy-fg-" Type="http://schemas.openxmlformats.org/officeDocument/2006/relationships/hyperlink" Target="https://doi.org/10.1016/j.enbuild.2021.111478" TargetMode="External"/><Relationship Id="rIdfaaadajkbra6co76i897f" Type="http://schemas.openxmlformats.org/officeDocument/2006/relationships/hyperlink" Target="https://arxiv.org/abs/2010.04560" TargetMode="External"/><Relationship Id="rIdzr--grmwv9t0orteflbeo" Type="http://schemas.openxmlformats.org/officeDocument/2006/relationships/hyperlink" Target="https://arxiv.org/abs/2306.05017" TargetMode="External"/><Relationship Id="rIdkw9rhppzwahzaiaj_abgh" Type="http://schemas.openxmlformats.org/officeDocument/2006/relationships/hyperlink" Target="https://doi.org/10.1007/s10098-021-02180-2" TargetMode="External"/><Relationship Id="rId8lsqc2ifmiqa6_mi9lxbz" Type="http://schemas.openxmlformats.org/officeDocument/2006/relationships/hyperlink" Target="https://doi.org/10.1016/j.jclepro.2020.125642" TargetMode="External"/><Relationship Id="rIdvkbkbelcfsimce_funjri" Type="http://schemas.openxmlformats.org/officeDocument/2006/relationships/hyperlink" Target="https://doi.org/10.1186/s12302-021-00454-6" TargetMode="External"/><Relationship Id="rIdruowgichktw69kzzlicja" Type="http://schemas.openxmlformats.org/officeDocument/2006/relationships/hyperlink" Target="https://doi.org/10.1016/j.spc.2021.11.020" TargetMode="External"/><Relationship Id="rIdoap6fczhnmxtgt8xqb7lr" Type="http://schemas.openxmlformats.org/officeDocument/2006/relationships/hyperlink" Target="https://doi.org/10.3390/ijerph191710964" TargetMode="External"/><Relationship Id="rIdok7e5mrj3p1qxlzt7onv1" Type="http://schemas.openxmlformats.org/officeDocument/2006/relationships/hyperlink" Target="https://doi.org/10.1108/IJSHE-04-2022-0121" TargetMode="External"/><Relationship Id="rIdkf7rdr1eaesfbp70g-zrr" Type="http://schemas.openxmlformats.org/officeDocument/2006/relationships/hyperlink" Target="https://doi.org/10.1016/j.jenvman.2022.117056" TargetMode="External"/><Relationship Id="rIdhytrjdnerm0hv95blxo1g" Type="http://schemas.openxmlformats.org/officeDocument/2006/relationships/hyperlink" Target="https://doi.org/10.1007/s11367-025-02514-y" TargetMode="External"/><Relationship Id="rIdqvh4ow-9pyoh0henqckm9" Type="http://schemas.openxmlformats.org/officeDocument/2006/relationships/hyperlink" Target="https://jes.journals.ekb.eg/article_295030.html" TargetMode="External"/><Relationship Id="rIdx5n5bcd3wx0ucy4rwvzf7" Type="http://schemas.openxmlformats.org/officeDocument/2006/relationships/hyperlink" Target="https://doi.org/10.3390/su12010181" TargetMode="External"/><Relationship Id="rIdlzgenexvoyad4yrj8zzff" Type="http://schemas.openxmlformats.org/officeDocument/2006/relationships/hyperlink" Target="https://cecas.clemson.edu/ladnergroup/blog/wp-content/uploads/2020/07/Clabeaux-et-al-2020-CO2-Footprint-Journal-Cleaner-Production.pdf" TargetMode="External"/><Relationship Id="rIdb8uun6euntnw3eqrjpvp5" Type="http://schemas.openxmlformats.org/officeDocument/2006/relationships/hyperlink" Target="https://eprints.bournemouth.ac.uk/34947/" TargetMode="External"/><Relationship Id="rIdiprcp8z7gpose50eldpww" Type="http://schemas.openxmlformats.org/officeDocument/2006/relationships/hyperlink" Target="https://doi.org/10.3390/su14020794" TargetMode="External"/><Relationship Id="rIditcbkb8r8b3pgtqmm5mxa" Type="http://schemas.openxmlformats.org/officeDocument/2006/relationships/hyperlink" Target="https://www.ncbi.nlm.nih.gov/pmc/articles/PMC9374572/" TargetMode="External"/><Relationship Id="rIdjohkpsrdguogrrgasynbk" Type="http://schemas.openxmlformats.org/officeDocument/2006/relationships/hyperlink" Target="https://doi.org/10.3390/su14031774" TargetMode="External"/><Relationship Id="rIdgofp8_xu4ti0dvwiqxuxh" Type="http://schemas.openxmlformats.org/officeDocument/2006/relationships/hyperlink" Target="https://doi.org/10.3390/en16010166" TargetMode="External"/><Relationship Id="rIdfzu-m0sp9hdu107czhxzb" Type="http://schemas.openxmlformats.org/officeDocument/2006/relationships/hyperlink" Target="https://doi.org/10.1108/IJSHE-11-2023-0515" TargetMode="External"/><Relationship Id="rIdx0oaz8im0sfixvs1zwaxq" Type="http://schemas.openxmlformats.org/officeDocument/2006/relationships/hyperlink" Target="https://doi.org/10.3390/app15073695" TargetMode="External"/><Relationship Id="rId_0awpdtuthvticuskhrro" Type="http://schemas.openxmlformats.org/officeDocument/2006/relationships/hyperlink" Target="https://doi.org/10.1371/journal.pone.0321216" TargetMode="External"/><Relationship Id="rIdg-xirxutawxs4kka2dnr0" Type="http://schemas.openxmlformats.org/officeDocument/2006/relationships/hyperlink" Target="https://doi.org/10.3390/en14248558" TargetMode="External"/><Relationship Id="rId15fa1hmueehuf1_u4dzq3" Type="http://schemas.openxmlformats.org/officeDocument/2006/relationships/hyperlink" Target="https://www.nepjol.info/index.php/hijase/article/view/74787" TargetMode="External"/><Relationship Id="rIdsy0zqcywezxsoeakjahyr" Type="http://schemas.openxmlformats.org/officeDocument/2006/relationships/hyperlink" Target="https://doi.org/10.56082/annalsarscibio.2026.1.191" TargetMode="External"/><Relationship Id="rIdc3wzfjnbntcwgxihrzuzo" Type="http://schemas.openxmlformats.org/officeDocument/2006/relationships/hyperlink" Target="https://doi.org/10.1080/16874048.2024.2345553" TargetMode="External"/><Relationship Id="rIdefh6mia-s4jmhj1qosiok" Type="http://schemas.openxmlformats.org/officeDocument/2006/relationships/hyperlink" Target="https://discovery.ucl.ac.uk/id/eprint/10211499" TargetMode="External"/><Relationship Id="rIdcu3sa_d0n54drnertjeri" Type="http://schemas.openxmlformats.org/officeDocument/2006/relationships/hyperlink" Target="https://doi.org/10.1016/j.enbuild.2023.112882" TargetMode="External"/><Relationship Id="rIdkntndhljwknmg8ojeqck-" Type="http://schemas.openxmlformats.org/officeDocument/2006/relationships/hyperlink" Target="https://hotorcool.org/1-5-degree-lifestyles-report" TargetMode="External"/><Relationship Id="rIdhgis4io5pm31rflm0_i3_" Type="http://schemas.openxmlformats.org/officeDocument/2006/relationships/hyperlink" Target="https://data.europa.eu/doi/10.2760/4002897" TargetMode="External"/><Relationship Id="rIdmazhdysjzphnr8n4a0dpv" Type="http://schemas.openxmlformats.org/officeDocument/2006/relationships/hyperlink" Target="https://doi.org/10.1145/3487923.3487935" TargetMode="External"/><Relationship Id="rIdivgz5iozd3qhsdxztv6nm" Type="http://schemas.openxmlformats.org/officeDocument/2006/relationships/hyperlink" Target="https://doi.org/10.1007/s11356-020-11179-z" TargetMode="External"/><Relationship Id="rIdvgupzfhbwovjgtalyau4k" Type="http://schemas.openxmlformats.org/officeDocument/2006/relationships/hyperlink" Target="https://arxiv.org/abs/2603.00340" TargetMode="External"/><Relationship Id="rIdvvw6mnycpv77rhfrdydp1" Type="http://schemas.openxmlformats.org/officeDocument/2006/relationships/hyperlink" Target="https://doaj.org/article/cedcdc9d16f541aaa07a5c67ef7f5d2b" TargetMode="External"/><Relationship Id="rId-kszexvyeb5iutaqceayr" Type="http://schemas.openxmlformats.org/officeDocument/2006/relationships/hyperlink" Target="https://doi.org/10.3389/fcomp.2021.713719" TargetMode="External"/><Relationship Id="rIdhjco5fms_7swjfcvrqisn" Type="http://schemas.openxmlformats.org/officeDocument/2006/relationships/hyperlink" Target="https://doi.org/10.3390/s22176712" TargetMode="External"/><Relationship Id="rIditfssnsx7drh_h6mijzgd" Type="http://schemas.openxmlformats.org/officeDocument/2006/relationships/hyperlink" Target="https://doi.org/10.3390/healthcare9121676" TargetMode="External"/><Relationship Id="rIdkdghwq2xpelh4nnblttcp" Type="http://schemas.openxmlformats.org/officeDocument/2006/relationships/hyperlink" Target="https://www.ncbi.nlm.nih.gov/pmc/articles/PMC9776640/" TargetMode="External"/><Relationship Id="rIdjvjoe77lixmwfpacfkobr" Type="http://schemas.openxmlformats.org/officeDocument/2006/relationships/hyperlink" Target="https://penerbit.uthm.edu.my/periodicals/index.php/peat/article/view/14767" TargetMode="External"/><Relationship Id="rIdubmo-thvolq4colqvcffy" Type="http://schemas.openxmlformats.org/officeDocument/2006/relationships/hyperlink" Target="https://arxiv.org/abs/2007.06933" TargetMode="External"/><Relationship Id="rIdtzjjw8c_ucyaiiufpmwq8" Type="http://schemas.openxmlformats.org/officeDocument/2006/relationships/hyperlink" Target="https://doi.org/10.1016/j.enbuild.2021.111478" TargetMode="External"/><Relationship Id="rIdeh15h68ms7w0numbfgt4u" Type="http://schemas.openxmlformats.org/officeDocument/2006/relationships/hyperlink" Target="https://arxiv.org/abs/2010.04560" TargetMode="External"/><Relationship Id="rIdspg9-qop0w_x9hwdk-jcv" Type="http://schemas.openxmlformats.org/officeDocument/2006/relationships/hyperlink" Target="https://arxiv.org/abs/2306.05017" TargetMode="External"/><Relationship Id="rId1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قياس البصمة الكربونية للمنشآت التعليمية: الأبحاث 2020–2026</dc:title>
  <dc:creator>Basmati team</dc:creator>
  <cp:lastModifiedBy>Un-named</cp:lastModifiedBy>
  <cp:revision>1</cp:revision>
  <dcterms:created xsi:type="dcterms:W3CDTF">2026-10-26T19:04:05.211Z</dcterms:created>
  <dcterms:modified xsi:type="dcterms:W3CDTF">2026-10-26T19:04:05.211Z</dcterms:modified>
</cp:coreProperties>
</file>

<file path=docProps/custom.xml><?xml version="1.0" encoding="utf-8"?>
<Properties xmlns="http://schemas.openxmlformats.org/officeDocument/2006/custom-properties" xmlns:vt="http://schemas.openxmlformats.org/officeDocument/2006/docPropsVTypes"/>
</file>