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2AC26" w14:textId="77777777" w:rsidR="00986A8A" w:rsidRPr="00986A8A" w:rsidRDefault="00986A8A" w:rsidP="00986A8A">
      <w:pPr>
        <w:ind w:left="-851"/>
        <w:jc w:val="both"/>
        <w:rPr>
          <w:rFonts w:asciiTheme="majorBidi" w:hAnsiTheme="majorBidi" w:cstheme="majorBidi"/>
          <w:b/>
          <w:bCs/>
        </w:rPr>
      </w:pPr>
      <w:r w:rsidRPr="00986A8A">
        <w:rPr>
          <w:rFonts w:asciiTheme="majorBidi" w:hAnsiTheme="majorBidi" w:cstheme="majorBidi"/>
          <w:b/>
          <w:bCs/>
        </w:rPr>
        <w:t>Forecasting Analysis Summary (2023-2025)</w:t>
      </w:r>
    </w:p>
    <w:p w14:paraId="6A330E63" w14:textId="77777777" w:rsidR="00986A8A" w:rsidRPr="00986A8A" w:rsidRDefault="00986A8A" w:rsidP="00986A8A">
      <w:pPr>
        <w:ind w:left="-851"/>
        <w:jc w:val="both"/>
        <w:rPr>
          <w:rFonts w:asciiTheme="majorBidi" w:hAnsiTheme="majorBidi" w:cstheme="majorBidi"/>
        </w:rPr>
      </w:pPr>
      <w:r w:rsidRPr="00986A8A">
        <w:rPr>
          <w:rFonts w:asciiTheme="majorBidi" w:hAnsiTheme="majorBidi" w:cstheme="majorBidi"/>
        </w:rPr>
        <w:t>This section provides a summary of the forecasting analysis conducted for workforce dynamics across three key dimensions: predicted attrition, projected average salary, and predicted workforce distribution by department, age group, and education level for the years 2023 to 2025. The analysis aims to support strategic planning by identifying trends and potential areas of focus.</w:t>
      </w:r>
    </w:p>
    <w:p w14:paraId="185A4F73" w14:textId="77777777" w:rsidR="00986A8A" w:rsidRPr="00986A8A" w:rsidRDefault="00986A8A" w:rsidP="00986A8A">
      <w:pPr>
        <w:ind w:left="-851"/>
        <w:jc w:val="both"/>
        <w:rPr>
          <w:rFonts w:asciiTheme="majorBidi" w:hAnsiTheme="majorBidi" w:cstheme="majorBidi"/>
          <w:b/>
          <w:bCs/>
        </w:rPr>
      </w:pPr>
    </w:p>
    <w:p w14:paraId="43BBCAF9" w14:textId="2B0C77BD" w:rsidR="00986A8A" w:rsidRPr="00986A8A" w:rsidRDefault="00986A8A" w:rsidP="00986A8A">
      <w:pPr>
        <w:ind w:left="-851"/>
        <w:jc w:val="both"/>
        <w:rPr>
          <w:rFonts w:asciiTheme="majorBidi" w:hAnsiTheme="majorBidi" w:cstheme="majorBidi"/>
          <w:b/>
          <w:bCs/>
        </w:rPr>
      </w:pPr>
      <w:r w:rsidRPr="00986A8A">
        <w:rPr>
          <w:rFonts w:asciiTheme="majorBidi" w:hAnsiTheme="majorBidi" w:cstheme="majorBidi"/>
          <w:b/>
          <w:bCs/>
        </w:rPr>
        <w:t>1. Predicted Attrition by Department (2023-2025)</w:t>
      </w:r>
    </w:p>
    <w:p w14:paraId="16669896" w14:textId="77777777" w:rsidR="00986A8A" w:rsidRPr="00986A8A" w:rsidRDefault="00986A8A" w:rsidP="00986A8A">
      <w:pPr>
        <w:ind w:left="-851"/>
        <w:jc w:val="both"/>
        <w:rPr>
          <w:rFonts w:asciiTheme="majorBidi" w:hAnsiTheme="majorBidi" w:cstheme="majorBidi"/>
        </w:rPr>
      </w:pPr>
      <w:r w:rsidRPr="00986A8A">
        <w:rPr>
          <w:rFonts w:asciiTheme="majorBidi" w:hAnsiTheme="majorBidi" w:cstheme="majorBidi"/>
        </w:rPr>
        <w:t>The forecasted attrition data highlights the number of employees expected to leave each department over the next three years:</w:t>
      </w:r>
    </w:p>
    <w:p w14:paraId="78F87C12" w14:textId="77777777" w:rsidR="00986A8A" w:rsidRPr="00986A8A" w:rsidRDefault="00986A8A" w:rsidP="00986A8A">
      <w:pPr>
        <w:numPr>
          <w:ilvl w:val="0"/>
          <w:numId w:val="1"/>
        </w:numPr>
        <w:ind w:left="0" w:hanging="426"/>
        <w:jc w:val="both"/>
        <w:rPr>
          <w:rFonts w:asciiTheme="majorBidi" w:hAnsiTheme="majorBidi" w:cstheme="majorBidi"/>
        </w:rPr>
      </w:pPr>
      <w:r w:rsidRPr="00986A8A">
        <w:rPr>
          <w:rFonts w:asciiTheme="majorBidi" w:hAnsiTheme="majorBidi" w:cstheme="majorBidi"/>
          <w:b/>
          <w:bCs/>
        </w:rPr>
        <w:t>Technology Department</w:t>
      </w:r>
      <w:r w:rsidRPr="00986A8A">
        <w:rPr>
          <w:rFonts w:asciiTheme="majorBidi" w:hAnsiTheme="majorBidi" w:cstheme="majorBidi"/>
        </w:rPr>
        <w:t>:</w:t>
      </w:r>
    </w:p>
    <w:p w14:paraId="6FBCA69D"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2023: 1,267 employees</w:t>
      </w:r>
    </w:p>
    <w:p w14:paraId="3350BA6A"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2024: 1,292 employees</w:t>
      </w:r>
    </w:p>
    <w:p w14:paraId="3B0C4535"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2025: 1,318 employees</w:t>
      </w:r>
    </w:p>
    <w:p w14:paraId="60C7CDC8"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b/>
          <w:bCs/>
        </w:rPr>
        <w:t>Trend</w:t>
      </w:r>
      <w:r w:rsidRPr="00986A8A">
        <w:rPr>
          <w:rFonts w:asciiTheme="majorBidi" w:hAnsiTheme="majorBidi" w:cstheme="majorBidi"/>
        </w:rPr>
        <w:t>: A steady increase in attrition, with a growth of approximately 4% from 2023 to 2025.</w:t>
      </w:r>
    </w:p>
    <w:p w14:paraId="6C2E4F17" w14:textId="77777777" w:rsidR="00986A8A" w:rsidRPr="00986A8A" w:rsidRDefault="00986A8A" w:rsidP="00986A8A">
      <w:pPr>
        <w:numPr>
          <w:ilvl w:val="0"/>
          <w:numId w:val="1"/>
        </w:numPr>
        <w:ind w:left="0" w:hanging="426"/>
        <w:jc w:val="both"/>
        <w:rPr>
          <w:rFonts w:asciiTheme="majorBidi" w:hAnsiTheme="majorBidi" w:cstheme="majorBidi"/>
        </w:rPr>
      </w:pPr>
      <w:r w:rsidRPr="00986A8A">
        <w:rPr>
          <w:rFonts w:asciiTheme="majorBidi" w:hAnsiTheme="majorBidi" w:cstheme="majorBidi"/>
          <w:b/>
          <w:bCs/>
        </w:rPr>
        <w:t>Sales Department</w:t>
      </w:r>
      <w:r w:rsidRPr="00986A8A">
        <w:rPr>
          <w:rFonts w:asciiTheme="majorBidi" w:hAnsiTheme="majorBidi" w:cstheme="majorBidi"/>
        </w:rPr>
        <w:t>:</w:t>
      </w:r>
    </w:p>
    <w:p w14:paraId="479D129A"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2023: 879 employees</w:t>
      </w:r>
    </w:p>
    <w:p w14:paraId="6FDF7157"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2024: 897 employees</w:t>
      </w:r>
    </w:p>
    <w:p w14:paraId="6A0BF6D0"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2025: 915 employees</w:t>
      </w:r>
    </w:p>
    <w:p w14:paraId="68086C17"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b/>
          <w:bCs/>
        </w:rPr>
        <w:t>Trend</w:t>
      </w:r>
      <w:r w:rsidRPr="00986A8A">
        <w:rPr>
          <w:rFonts w:asciiTheme="majorBidi" w:hAnsiTheme="majorBidi" w:cstheme="majorBidi"/>
        </w:rPr>
        <w:t>: Similar to Technology, Sales shows a consistent increase in attrition, with a growth of around 4% over the three years.</w:t>
      </w:r>
    </w:p>
    <w:p w14:paraId="2627A917" w14:textId="77777777" w:rsidR="00986A8A" w:rsidRPr="00986A8A" w:rsidRDefault="00986A8A" w:rsidP="00986A8A">
      <w:pPr>
        <w:numPr>
          <w:ilvl w:val="0"/>
          <w:numId w:val="1"/>
        </w:numPr>
        <w:ind w:left="0" w:hanging="426"/>
        <w:jc w:val="both"/>
        <w:rPr>
          <w:rFonts w:asciiTheme="majorBidi" w:hAnsiTheme="majorBidi" w:cstheme="majorBidi"/>
        </w:rPr>
      </w:pPr>
      <w:r w:rsidRPr="00986A8A">
        <w:rPr>
          <w:rFonts w:asciiTheme="majorBidi" w:hAnsiTheme="majorBidi" w:cstheme="majorBidi"/>
          <w:b/>
          <w:bCs/>
        </w:rPr>
        <w:t>Human Resources Department</w:t>
      </w:r>
      <w:r w:rsidRPr="00986A8A">
        <w:rPr>
          <w:rFonts w:asciiTheme="majorBidi" w:hAnsiTheme="majorBidi" w:cstheme="majorBidi"/>
        </w:rPr>
        <w:t>:</w:t>
      </w:r>
    </w:p>
    <w:p w14:paraId="5A8E9F10"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2023: 115 employees</w:t>
      </w:r>
    </w:p>
    <w:p w14:paraId="2C78FC22"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2024: 117 employees</w:t>
      </w:r>
    </w:p>
    <w:p w14:paraId="386D7D98"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rPr>
        <w:t>2025: 120 employees</w:t>
      </w:r>
    </w:p>
    <w:p w14:paraId="5B77F082" w14:textId="77777777" w:rsidR="00986A8A" w:rsidRPr="00986A8A" w:rsidRDefault="00986A8A" w:rsidP="00986A8A">
      <w:pPr>
        <w:numPr>
          <w:ilvl w:val="1"/>
          <w:numId w:val="1"/>
        </w:numPr>
        <w:ind w:left="0" w:hanging="426"/>
        <w:jc w:val="both"/>
        <w:rPr>
          <w:rFonts w:asciiTheme="majorBidi" w:hAnsiTheme="majorBidi" w:cstheme="majorBidi"/>
        </w:rPr>
      </w:pPr>
      <w:r w:rsidRPr="00986A8A">
        <w:rPr>
          <w:rFonts w:asciiTheme="majorBidi" w:hAnsiTheme="majorBidi" w:cstheme="majorBidi"/>
          <w:b/>
          <w:bCs/>
        </w:rPr>
        <w:t>Trend</w:t>
      </w:r>
      <w:r w:rsidRPr="00986A8A">
        <w:rPr>
          <w:rFonts w:asciiTheme="majorBidi" w:hAnsiTheme="majorBidi" w:cstheme="majorBidi"/>
        </w:rPr>
        <w:t>: A modest increase in attrition, with a growth of approximately 4% from 2023 to 2025.</w:t>
      </w:r>
    </w:p>
    <w:p w14:paraId="23527F39" w14:textId="77777777" w:rsidR="00986A8A" w:rsidRPr="00986A8A" w:rsidRDefault="00986A8A" w:rsidP="00986A8A">
      <w:pPr>
        <w:numPr>
          <w:ilvl w:val="0"/>
          <w:numId w:val="1"/>
        </w:numPr>
        <w:ind w:left="0" w:hanging="426"/>
        <w:jc w:val="both"/>
        <w:rPr>
          <w:rFonts w:asciiTheme="majorBidi" w:hAnsiTheme="majorBidi" w:cstheme="majorBidi"/>
        </w:rPr>
      </w:pPr>
      <w:r w:rsidRPr="00986A8A">
        <w:rPr>
          <w:rFonts w:asciiTheme="majorBidi" w:hAnsiTheme="majorBidi" w:cstheme="majorBidi"/>
          <w:b/>
          <w:bCs/>
        </w:rPr>
        <w:t>Key Insight</w:t>
      </w:r>
      <w:r w:rsidRPr="00986A8A">
        <w:rPr>
          <w:rFonts w:asciiTheme="majorBidi" w:hAnsiTheme="majorBidi" w:cstheme="majorBidi"/>
        </w:rPr>
        <w:t>: Technology faces the highest absolute attrition numbers due to its larger workforce size, while all departments show a similar growth rate in attrition. This suggests a need for targeted retention strategies, particularly in Technology, to mitigate the impact of losing a significant number of employees.</w:t>
      </w:r>
    </w:p>
    <w:p w14:paraId="256E8979" w14:textId="77777777" w:rsidR="00986A8A" w:rsidRPr="00986A8A" w:rsidRDefault="00986A8A" w:rsidP="00986A8A">
      <w:pPr>
        <w:ind w:left="-851"/>
        <w:jc w:val="both"/>
        <w:rPr>
          <w:rFonts w:asciiTheme="majorBidi" w:hAnsiTheme="majorBidi" w:cstheme="majorBidi"/>
          <w:b/>
          <w:bCs/>
        </w:rPr>
      </w:pPr>
    </w:p>
    <w:p w14:paraId="2EE778F0" w14:textId="5BA6B4AF" w:rsidR="00986A8A" w:rsidRPr="00986A8A" w:rsidRDefault="00986A8A" w:rsidP="00986A8A">
      <w:pPr>
        <w:ind w:left="-851"/>
        <w:jc w:val="both"/>
        <w:rPr>
          <w:rFonts w:asciiTheme="majorBidi" w:hAnsiTheme="majorBidi" w:cstheme="majorBidi"/>
          <w:b/>
          <w:bCs/>
        </w:rPr>
      </w:pPr>
      <w:r w:rsidRPr="00986A8A">
        <w:rPr>
          <w:rFonts w:asciiTheme="majorBidi" w:hAnsiTheme="majorBidi" w:cstheme="majorBidi"/>
          <w:b/>
          <w:bCs/>
        </w:rPr>
        <w:t>2. Projected Average Salary by Department (2023-2025)</w:t>
      </w:r>
    </w:p>
    <w:p w14:paraId="011750C1" w14:textId="77777777" w:rsidR="00986A8A" w:rsidRPr="00986A8A" w:rsidRDefault="00986A8A" w:rsidP="00986A8A">
      <w:pPr>
        <w:ind w:left="-851"/>
        <w:jc w:val="both"/>
        <w:rPr>
          <w:rFonts w:asciiTheme="majorBidi" w:hAnsiTheme="majorBidi" w:cstheme="majorBidi"/>
        </w:rPr>
      </w:pPr>
      <w:r w:rsidRPr="00986A8A">
        <w:rPr>
          <w:rFonts w:asciiTheme="majorBidi" w:hAnsiTheme="majorBidi" w:cstheme="majorBidi"/>
        </w:rPr>
        <w:t>The projected average salary analysis provides insights into salary trends across departments:</w:t>
      </w:r>
    </w:p>
    <w:p w14:paraId="7681AD1D" w14:textId="77777777" w:rsidR="00986A8A" w:rsidRPr="00986A8A" w:rsidRDefault="00986A8A" w:rsidP="00986A8A">
      <w:pPr>
        <w:numPr>
          <w:ilvl w:val="0"/>
          <w:numId w:val="2"/>
        </w:numPr>
        <w:ind w:left="0" w:hanging="426"/>
        <w:jc w:val="both"/>
        <w:rPr>
          <w:rFonts w:asciiTheme="majorBidi" w:hAnsiTheme="majorBidi" w:cstheme="majorBidi"/>
        </w:rPr>
      </w:pPr>
      <w:r w:rsidRPr="00986A8A">
        <w:rPr>
          <w:rFonts w:asciiTheme="majorBidi" w:hAnsiTheme="majorBidi" w:cstheme="majorBidi"/>
          <w:b/>
          <w:bCs/>
        </w:rPr>
        <w:t>Human Resources</w:t>
      </w:r>
      <w:r w:rsidRPr="00986A8A">
        <w:rPr>
          <w:rFonts w:asciiTheme="majorBidi" w:hAnsiTheme="majorBidi" w:cstheme="majorBidi"/>
        </w:rPr>
        <w:t>:</w:t>
      </w:r>
    </w:p>
    <w:p w14:paraId="67DB29CB"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2023: $110,858.44</w:t>
      </w:r>
    </w:p>
    <w:p w14:paraId="5DDF4A81"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2024: $114,184.20</w:t>
      </w:r>
    </w:p>
    <w:p w14:paraId="5A3A1712"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2025: $117,609.72</w:t>
      </w:r>
    </w:p>
    <w:p w14:paraId="0193F013"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b/>
          <w:bCs/>
        </w:rPr>
        <w:t>Trend</w:t>
      </w:r>
      <w:r w:rsidRPr="00986A8A">
        <w:rPr>
          <w:rFonts w:asciiTheme="majorBidi" w:hAnsiTheme="majorBidi" w:cstheme="majorBidi"/>
        </w:rPr>
        <w:t>: A steady increase of approximately 3% annually.</w:t>
      </w:r>
    </w:p>
    <w:p w14:paraId="236DB6E9" w14:textId="77777777" w:rsidR="00986A8A" w:rsidRPr="00986A8A" w:rsidRDefault="00986A8A" w:rsidP="00986A8A">
      <w:pPr>
        <w:numPr>
          <w:ilvl w:val="0"/>
          <w:numId w:val="2"/>
        </w:numPr>
        <w:ind w:left="0" w:hanging="426"/>
        <w:jc w:val="both"/>
        <w:rPr>
          <w:rFonts w:asciiTheme="majorBidi" w:hAnsiTheme="majorBidi" w:cstheme="majorBidi"/>
        </w:rPr>
      </w:pPr>
      <w:r w:rsidRPr="00986A8A">
        <w:rPr>
          <w:rFonts w:asciiTheme="majorBidi" w:hAnsiTheme="majorBidi" w:cstheme="majorBidi"/>
          <w:b/>
          <w:bCs/>
        </w:rPr>
        <w:t>Sales</w:t>
      </w:r>
      <w:r w:rsidRPr="00986A8A">
        <w:rPr>
          <w:rFonts w:asciiTheme="majorBidi" w:hAnsiTheme="majorBidi" w:cstheme="majorBidi"/>
        </w:rPr>
        <w:t>:</w:t>
      </w:r>
    </w:p>
    <w:p w14:paraId="430ED05A"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2023: $125,391.04</w:t>
      </w:r>
    </w:p>
    <w:p w14:paraId="2A5BEB85"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2024: $130,406.68</w:t>
      </w:r>
    </w:p>
    <w:p w14:paraId="23670EE1"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2025: $135,622.95</w:t>
      </w:r>
    </w:p>
    <w:p w14:paraId="43B2A51B"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b/>
          <w:bCs/>
        </w:rPr>
        <w:t>Trend</w:t>
      </w:r>
      <w:r w:rsidRPr="00986A8A">
        <w:rPr>
          <w:rFonts w:asciiTheme="majorBidi" w:hAnsiTheme="majorBidi" w:cstheme="majorBidi"/>
        </w:rPr>
        <w:t>: A consistent annual increase of around 4%.</w:t>
      </w:r>
    </w:p>
    <w:p w14:paraId="3774CEB5" w14:textId="77777777" w:rsidR="00986A8A" w:rsidRPr="00986A8A" w:rsidRDefault="00986A8A" w:rsidP="00986A8A">
      <w:pPr>
        <w:numPr>
          <w:ilvl w:val="0"/>
          <w:numId w:val="2"/>
        </w:numPr>
        <w:ind w:left="0" w:hanging="426"/>
        <w:jc w:val="both"/>
        <w:rPr>
          <w:rFonts w:asciiTheme="majorBidi" w:hAnsiTheme="majorBidi" w:cstheme="majorBidi"/>
        </w:rPr>
      </w:pPr>
      <w:r w:rsidRPr="00986A8A">
        <w:rPr>
          <w:rFonts w:asciiTheme="majorBidi" w:hAnsiTheme="majorBidi" w:cstheme="majorBidi"/>
          <w:b/>
          <w:bCs/>
        </w:rPr>
        <w:t>Technology</w:t>
      </w:r>
      <w:r w:rsidRPr="00986A8A">
        <w:rPr>
          <w:rFonts w:asciiTheme="majorBidi" w:hAnsiTheme="majorBidi" w:cstheme="majorBidi"/>
        </w:rPr>
        <w:t>:</w:t>
      </w:r>
    </w:p>
    <w:p w14:paraId="172ABDB0"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2023: $111,557.59</w:t>
      </w:r>
    </w:p>
    <w:p w14:paraId="5DBBCACC"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2024: $117,135.47</w:t>
      </w:r>
    </w:p>
    <w:p w14:paraId="085FE75A"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rPr>
        <w:t>2025: $122,992.24</w:t>
      </w:r>
    </w:p>
    <w:p w14:paraId="623B291B" w14:textId="77777777" w:rsidR="00986A8A" w:rsidRPr="00986A8A" w:rsidRDefault="00986A8A" w:rsidP="00986A8A">
      <w:pPr>
        <w:numPr>
          <w:ilvl w:val="1"/>
          <w:numId w:val="2"/>
        </w:numPr>
        <w:ind w:left="0" w:hanging="426"/>
        <w:jc w:val="both"/>
        <w:rPr>
          <w:rFonts w:asciiTheme="majorBidi" w:hAnsiTheme="majorBidi" w:cstheme="majorBidi"/>
        </w:rPr>
      </w:pPr>
      <w:r w:rsidRPr="00986A8A">
        <w:rPr>
          <w:rFonts w:asciiTheme="majorBidi" w:hAnsiTheme="majorBidi" w:cstheme="majorBidi"/>
          <w:b/>
          <w:bCs/>
        </w:rPr>
        <w:t>Trend</w:t>
      </w:r>
      <w:r w:rsidRPr="00986A8A">
        <w:rPr>
          <w:rFonts w:asciiTheme="majorBidi" w:hAnsiTheme="majorBidi" w:cstheme="majorBidi"/>
        </w:rPr>
        <w:t>: An annual increase of approximately 5%, the highest among all departments.</w:t>
      </w:r>
    </w:p>
    <w:p w14:paraId="12A4E09B" w14:textId="77777777" w:rsidR="00986A8A" w:rsidRPr="00986A8A" w:rsidRDefault="00986A8A" w:rsidP="00986A8A">
      <w:pPr>
        <w:numPr>
          <w:ilvl w:val="0"/>
          <w:numId w:val="2"/>
        </w:numPr>
        <w:ind w:left="0" w:hanging="426"/>
        <w:jc w:val="both"/>
        <w:rPr>
          <w:rFonts w:asciiTheme="majorBidi" w:hAnsiTheme="majorBidi" w:cstheme="majorBidi"/>
        </w:rPr>
      </w:pPr>
      <w:r w:rsidRPr="00986A8A">
        <w:rPr>
          <w:rFonts w:asciiTheme="majorBidi" w:hAnsiTheme="majorBidi" w:cstheme="majorBidi"/>
          <w:b/>
          <w:bCs/>
        </w:rPr>
        <w:t>Key Insight</w:t>
      </w:r>
      <w:r w:rsidRPr="00986A8A">
        <w:rPr>
          <w:rFonts w:asciiTheme="majorBidi" w:hAnsiTheme="majorBidi" w:cstheme="majorBidi"/>
        </w:rPr>
        <w:t>: Sales has the highest average salary throughout the period, while Technology shows the fastest salary growth rate. This could indicate higher demand for tech talent, potentially contributing to the higher attrition numbers observed in the Technology department.</w:t>
      </w:r>
    </w:p>
    <w:p w14:paraId="64DA0D41" w14:textId="77777777" w:rsidR="00986A8A" w:rsidRDefault="00986A8A" w:rsidP="00986A8A">
      <w:pPr>
        <w:ind w:left="-851"/>
        <w:jc w:val="both"/>
        <w:rPr>
          <w:rFonts w:asciiTheme="majorBidi" w:hAnsiTheme="majorBidi" w:cstheme="majorBidi"/>
          <w:b/>
          <w:bCs/>
        </w:rPr>
      </w:pPr>
    </w:p>
    <w:p w14:paraId="1AB60E50" w14:textId="77777777" w:rsidR="00986A8A" w:rsidRDefault="00986A8A" w:rsidP="00986A8A">
      <w:pPr>
        <w:ind w:left="-851"/>
        <w:jc w:val="both"/>
        <w:rPr>
          <w:rFonts w:asciiTheme="majorBidi" w:hAnsiTheme="majorBidi" w:cstheme="majorBidi"/>
          <w:b/>
          <w:bCs/>
        </w:rPr>
      </w:pPr>
    </w:p>
    <w:p w14:paraId="6FE254EA" w14:textId="77777777" w:rsidR="00986A8A" w:rsidRPr="00986A8A" w:rsidRDefault="00986A8A" w:rsidP="00986A8A">
      <w:pPr>
        <w:ind w:left="-851"/>
        <w:jc w:val="both"/>
        <w:rPr>
          <w:rFonts w:asciiTheme="majorBidi" w:hAnsiTheme="majorBidi" w:cstheme="majorBidi"/>
          <w:b/>
          <w:bCs/>
        </w:rPr>
      </w:pPr>
    </w:p>
    <w:p w14:paraId="5A494E15" w14:textId="5B9E5970" w:rsidR="00986A8A" w:rsidRPr="00986A8A" w:rsidRDefault="00986A8A" w:rsidP="00986A8A">
      <w:pPr>
        <w:ind w:left="-851"/>
        <w:jc w:val="both"/>
        <w:rPr>
          <w:rFonts w:asciiTheme="majorBidi" w:hAnsiTheme="majorBidi" w:cstheme="majorBidi"/>
          <w:b/>
          <w:bCs/>
        </w:rPr>
      </w:pPr>
      <w:r w:rsidRPr="00986A8A">
        <w:rPr>
          <w:rFonts w:asciiTheme="majorBidi" w:hAnsiTheme="majorBidi" w:cstheme="majorBidi"/>
          <w:b/>
          <w:bCs/>
        </w:rPr>
        <w:lastRenderedPageBreak/>
        <w:t>3. Predicted Workforce by Department, Age Group, and Education Level (2023-2025)</w:t>
      </w:r>
    </w:p>
    <w:p w14:paraId="4945692C" w14:textId="77777777" w:rsidR="00986A8A" w:rsidRPr="00986A8A" w:rsidRDefault="00986A8A" w:rsidP="00986A8A">
      <w:pPr>
        <w:ind w:left="-851"/>
        <w:jc w:val="both"/>
        <w:rPr>
          <w:rFonts w:asciiTheme="majorBidi" w:hAnsiTheme="majorBidi" w:cstheme="majorBidi"/>
        </w:rPr>
      </w:pPr>
      <w:r w:rsidRPr="00986A8A">
        <w:rPr>
          <w:rFonts w:asciiTheme="majorBidi" w:hAnsiTheme="majorBidi" w:cstheme="majorBidi"/>
        </w:rPr>
        <w:t>The forecasted workforce distribution examines employee counts across departments, age groups, and education levels:</w:t>
      </w:r>
    </w:p>
    <w:p w14:paraId="06E0AC42" w14:textId="77777777" w:rsidR="00986A8A" w:rsidRPr="00986A8A" w:rsidRDefault="00986A8A" w:rsidP="00986A8A">
      <w:pPr>
        <w:numPr>
          <w:ilvl w:val="0"/>
          <w:numId w:val="3"/>
        </w:numPr>
        <w:ind w:left="0" w:hanging="426"/>
        <w:jc w:val="both"/>
        <w:rPr>
          <w:rFonts w:asciiTheme="majorBidi" w:hAnsiTheme="majorBidi" w:cstheme="majorBidi"/>
        </w:rPr>
      </w:pPr>
      <w:r w:rsidRPr="00986A8A">
        <w:rPr>
          <w:rFonts w:asciiTheme="majorBidi" w:hAnsiTheme="majorBidi" w:cstheme="majorBidi"/>
          <w:b/>
          <w:bCs/>
        </w:rPr>
        <w:t>Overall Trends</w:t>
      </w:r>
      <w:r w:rsidRPr="00986A8A">
        <w:rPr>
          <w:rFonts w:asciiTheme="majorBidi" w:hAnsiTheme="majorBidi" w:cstheme="majorBidi"/>
        </w:rPr>
        <w:t>:</w:t>
      </w:r>
    </w:p>
    <w:p w14:paraId="743D0956"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The workforce distribution remains relatively stable across the three years, with minor fluctuations in employee counts.</w:t>
      </w:r>
    </w:p>
    <w:p w14:paraId="649C0C45"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Technology remains the largest department in terms of workforce size, followed by Sales and Human Resources.</w:t>
      </w:r>
    </w:p>
    <w:p w14:paraId="518F9FC9" w14:textId="77777777" w:rsidR="00986A8A" w:rsidRPr="00986A8A" w:rsidRDefault="00986A8A" w:rsidP="00986A8A">
      <w:pPr>
        <w:numPr>
          <w:ilvl w:val="0"/>
          <w:numId w:val="3"/>
        </w:numPr>
        <w:ind w:left="0" w:hanging="426"/>
        <w:jc w:val="both"/>
        <w:rPr>
          <w:rFonts w:asciiTheme="majorBidi" w:hAnsiTheme="majorBidi" w:cstheme="majorBidi"/>
        </w:rPr>
      </w:pPr>
      <w:r w:rsidRPr="00986A8A">
        <w:rPr>
          <w:rFonts w:asciiTheme="majorBidi" w:hAnsiTheme="majorBidi" w:cstheme="majorBidi"/>
          <w:b/>
          <w:bCs/>
        </w:rPr>
        <w:t>By Age Group</w:t>
      </w:r>
      <w:r w:rsidRPr="00986A8A">
        <w:rPr>
          <w:rFonts w:asciiTheme="majorBidi" w:hAnsiTheme="majorBidi" w:cstheme="majorBidi"/>
        </w:rPr>
        <w:t>:</w:t>
      </w:r>
    </w:p>
    <w:p w14:paraId="0DF1D15E"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The 18-30 age group dominates across all departments, reflecting a younger workforce.</w:t>
      </w:r>
    </w:p>
    <w:p w14:paraId="10F9B37B"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The 31-45 age group is the second largest, with a smaller representation in the 46-60 age group.</w:t>
      </w:r>
    </w:p>
    <w:p w14:paraId="56672F3A" w14:textId="77777777" w:rsidR="00986A8A" w:rsidRPr="00986A8A" w:rsidRDefault="00986A8A" w:rsidP="00986A8A">
      <w:pPr>
        <w:numPr>
          <w:ilvl w:val="0"/>
          <w:numId w:val="3"/>
        </w:numPr>
        <w:ind w:left="0" w:hanging="426"/>
        <w:jc w:val="both"/>
        <w:rPr>
          <w:rFonts w:asciiTheme="majorBidi" w:hAnsiTheme="majorBidi" w:cstheme="majorBidi"/>
        </w:rPr>
      </w:pPr>
      <w:r w:rsidRPr="00986A8A">
        <w:rPr>
          <w:rFonts w:asciiTheme="majorBidi" w:hAnsiTheme="majorBidi" w:cstheme="majorBidi"/>
          <w:b/>
          <w:bCs/>
        </w:rPr>
        <w:t>By Education Level</w:t>
      </w:r>
      <w:r w:rsidRPr="00986A8A">
        <w:rPr>
          <w:rFonts w:asciiTheme="majorBidi" w:hAnsiTheme="majorBidi" w:cstheme="majorBidi"/>
        </w:rPr>
        <w:t>:</w:t>
      </w:r>
    </w:p>
    <w:p w14:paraId="4F8BB117"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Employees with a Bachelor’s degree form the largest group across all departments and years.</w:t>
      </w:r>
    </w:p>
    <w:p w14:paraId="3D15A436"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Master’s degree holders are the second most common, followed by those with a High School education.</w:t>
      </w:r>
    </w:p>
    <w:p w14:paraId="024971D4" w14:textId="77777777" w:rsidR="00986A8A" w:rsidRPr="00986A8A" w:rsidRDefault="00986A8A" w:rsidP="00986A8A">
      <w:pPr>
        <w:numPr>
          <w:ilvl w:val="1"/>
          <w:numId w:val="3"/>
        </w:numPr>
        <w:ind w:left="0" w:hanging="426"/>
        <w:jc w:val="both"/>
        <w:rPr>
          <w:rFonts w:asciiTheme="majorBidi" w:hAnsiTheme="majorBidi" w:cstheme="majorBidi"/>
        </w:rPr>
      </w:pPr>
      <w:r w:rsidRPr="00986A8A">
        <w:rPr>
          <w:rFonts w:asciiTheme="majorBidi" w:hAnsiTheme="majorBidi" w:cstheme="majorBidi"/>
        </w:rPr>
        <w:t>PhD holders are the smallest group, primarily concentrated in Technology.</w:t>
      </w:r>
    </w:p>
    <w:p w14:paraId="56A08D0F" w14:textId="77777777" w:rsidR="00986A8A" w:rsidRPr="00986A8A" w:rsidRDefault="00986A8A" w:rsidP="00986A8A">
      <w:pPr>
        <w:numPr>
          <w:ilvl w:val="0"/>
          <w:numId w:val="3"/>
        </w:numPr>
        <w:ind w:left="0" w:hanging="426"/>
        <w:jc w:val="both"/>
        <w:rPr>
          <w:rFonts w:asciiTheme="majorBidi" w:hAnsiTheme="majorBidi" w:cstheme="majorBidi"/>
        </w:rPr>
      </w:pPr>
      <w:r w:rsidRPr="00986A8A">
        <w:rPr>
          <w:rFonts w:asciiTheme="majorBidi" w:hAnsiTheme="majorBidi" w:cstheme="majorBidi"/>
          <w:b/>
          <w:bCs/>
        </w:rPr>
        <w:t>Key Insight</w:t>
      </w:r>
      <w:r w:rsidRPr="00986A8A">
        <w:rPr>
          <w:rFonts w:asciiTheme="majorBidi" w:hAnsiTheme="majorBidi" w:cstheme="majorBidi"/>
        </w:rPr>
        <w:t>: The predominance of younger employees (18-30) with Bachelor’s degrees suggests a workforce that may prioritize career mobility and development opportunities. This aligns with the higher attrition rates observed, particularly in Technology, where employees might seek better opportunities elsewhere.</w:t>
      </w:r>
    </w:p>
    <w:p w14:paraId="421940C0" w14:textId="77777777" w:rsidR="00986A8A" w:rsidRPr="00986A8A" w:rsidRDefault="00986A8A" w:rsidP="00986A8A">
      <w:pPr>
        <w:ind w:left="-851"/>
        <w:jc w:val="both"/>
        <w:rPr>
          <w:rFonts w:asciiTheme="majorBidi" w:hAnsiTheme="majorBidi" w:cstheme="majorBidi"/>
          <w:b/>
          <w:bCs/>
        </w:rPr>
      </w:pPr>
    </w:p>
    <w:p w14:paraId="713A322A" w14:textId="77777777" w:rsidR="00986A8A" w:rsidRPr="00986A8A" w:rsidRDefault="00986A8A" w:rsidP="00986A8A">
      <w:pPr>
        <w:ind w:left="-851"/>
        <w:jc w:val="both"/>
        <w:rPr>
          <w:rFonts w:asciiTheme="majorBidi" w:hAnsiTheme="majorBidi" w:cstheme="majorBidi"/>
          <w:b/>
          <w:bCs/>
        </w:rPr>
      </w:pPr>
    </w:p>
    <w:p w14:paraId="753DB6E5" w14:textId="77777777" w:rsidR="00986A8A" w:rsidRPr="00986A8A" w:rsidRDefault="00986A8A" w:rsidP="00986A8A">
      <w:pPr>
        <w:ind w:left="-851"/>
        <w:jc w:val="both"/>
        <w:rPr>
          <w:rFonts w:asciiTheme="majorBidi" w:hAnsiTheme="majorBidi" w:cstheme="majorBidi"/>
          <w:b/>
          <w:bCs/>
        </w:rPr>
      </w:pPr>
    </w:p>
    <w:p w14:paraId="68505762" w14:textId="60A35697" w:rsidR="00986A8A" w:rsidRPr="00986A8A" w:rsidRDefault="00986A8A" w:rsidP="00986A8A">
      <w:pPr>
        <w:ind w:left="-851"/>
        <w:jc w:val="both"/>
        <w:rPr>
          <w:rFonts w:asciiTheme="majorBidi" w:hAnsiTheme="majorBidi" w:cstheme="majorBidi"/>
          <w:b/>
          <w:bCs/>
        </w:rPr>
      </w:pPr>
      <w:r w:rsidRPr="00986A8A">
        <w:rPr>
          <w:rFonts w:asciiTheme="majorBidi" w:hAnsiTheme="majorBidi" w:cstheme="majorBidi"/>
          <w:b/>
          <w:bCs/>
        </w:rPr>
        <w:t>Conclusion</w:t>
      </w:r>
    </w:p>
    <w:p w14:paraId="6D3540C3" w14:textId="77777777" w:rsidR="00986A8A" w:rsidRPr="00986A8A" w:rsidRDefault="00986A8A" w:rsidP="00986A8A">
      <w:pPr>
        <w:ind w:left="-851"/>
        <w:jc w:val="both"/>
        <w:rPr>
          <w:rFonts w:asciiTheme="majorBidi" w:hAnsiTheme="majorBidi" w:cstheme="majorBidi"/>
        </w:rPr>
      </w:pPr>
      <w:r w:rsidRPr="00986A8A">
        <w:rPr>
          <w:rFonts w:asciiTheme="majorBidi" w:hAnsiTheme="majorBidi" w:cstheme="majorBidi"/>
        </w:rPr>
        <w:t>The forecasting analysis for 2023-2025 reveals several actionable insights:</w:t>
      </w:r>
    </w:p>
    <w:p w14:paraId="2F0263D7" w14:textId="77777777" w:rsidR="00986A8A" w:rsidRPr="00986A8A" w:rsidRDefault="00986A8A" w:rsidP="00986A8A">
      <w:pPr>
        <w:numPr>
          <w:ilvl w:val="0"/>
          <w:numId w:val="4"/>
        </w:numPr>
        <w:tabs>
          <w:tab w:val="clear" w:pos="720"/>
          <w:tab w:val="num" w:pos="0"/>
        </w:tabs>
        <w:ind w:left="0" w:hanging="426"/>
        <w:jc w:val="both"/>
        <w:rPr>
          <w:rFonts w:asciiTheme="majorBidi" w:hAnsiTheme="majorBidi" w:cstheme="majorBidi"/>
        </w:rPr>
      </w:pPr>
      <w:r w:rsidRPr="00986A8A">
        <w:rPr>
          <w:rFonts w:asciiTheme="majorBidi" w:hAnsiTheme="majorBidi" w:cstheme="majorBidi"/>
          <w:b/>
          <w:bCs/>
        </w:rPr>
        <w:t>Attrition</w:t>
      </w:r>
      <w:r w:rsidRPr="00986A8A">
        <w:rPr>
          <w:rFonts w:asciiTheme="majorBidi" w:hAnsiTheme="majorBidi" w:cstheme="majorBidi"/>
        </w:rPr>
        <w:t>: Technology faces the highest absolute attrition, necessitating targeted retention strategies such as improved career development programs or competitive compensation packages.</w:t>
      </w:r>
    </w:p>
    <w:p w14:paraId="09BCF145" w14:textId="77777777" w:rsidR="00986A8A" w:rsidRPr="00986A8A" w:rsidRDefault="00986A8A" w:rsidP="00986A8A">
      <w:pPr>
        <w:numPr>
          <w:ilvl w:val="0"/>
          <w:numId w:val="4"/>
        </w:numPr>
        <w:tabs>
          <w:tab w:val="clear" w:pos="720"/>
          <w:tab w:val="num" w:pos="0"/>
        </w:tabs>
        <w:ind w:left="0" w:hanging="426"/>
        <w:jc w:val="both"/>
        <w:rPr>
          <w:rFonts w:asciiTheme="majorBidi" w:hAnsiTheme="majorBidi" w:cstheme="majorBidi"/>
        </w:rPr>
      </w:pPr>
      <w:r w:rsidRPr="00986A8A">
        <w:rPr>
          <w:rFonts w:asciiTheme="majorBidi" w:hAnsiTheme="majorBidi" w:cstheme="majorBidi"/>
          <w:b/>
          <w:bCs/>
        </w:rPr>
        <w:t>Salary Trends</w:t>
      </w:r>
      <w:r w:rsidRPr="00986A8A">
        <w:rPr>
          <w:rFonts w:asciiTheme="majorBidi" w:hAnsiTheme="majorBidi" w:cstheme="majorBidi"/>
        </w:rPr>
        <w:t>: The rapid salary growth in Technology may reflect market demand for tech talent, but it could also contribute to higher attrition if not paired with other retention incentives.</w:t>
      </w:r>
    </w:p>
    <w:p w14:paraId="3080A674" w14:textId="2DDE1CEE" w:rsidR="00986A8A" w:rsidRPr="00986A8A" w:rsidRDefault="00986A8A" w:rsidP="00986A8A">
      <w:pPr>
        <w:numPr>
          <w:ilvl w:val="0"/>
          <w:numId w:val="4"/>
        </w:numPr>
        <w:tabs>
          <w:tab w:val="clear" w:pos="720"/>
          <w:tab w:val="num" w:pos="0"/>
        </w:tabs>
        <w:ind w:left="0" w:hanging="426"/>
        <w:jc w:val="both"/>
        <w:rPr>
          <w:rFonts w:asciiTheme="majorBidi" w:hAnsiTheme="majorBidi" w:cstheme="majorBidi"/>
        </w:rPr>
      </w:pPr>
      <w:r w:rsidRPr="00986A8A">
        <w:rPr>
          <w:rFonts w:asciiTheme="majorBidi" w:hAnsiTheme="majorBidi" w:cstheme="majorBidi"/>
          <w:b/>
          <w:bCs/>
        </w:rPr>
        <w:t>Workforce Distribution</w:t>
      </w:r>
      <w:r w:rsidRPr="00986A8A">
        <w:rPr>
          <w:rFonts w:asciiTheme="majorBidi" w:hAnsiTheme="majorBidi" w:cstheme="majorBidi"/>
        </w:rPr>
        <w:t>: The young, Bachelor’s degree-dominated workforce suggests a need for programs that support early-career growth and engagement to reduce turnover.</w:t>
      </w:r>
    </w:p>
    <w:p w14:paraId="340DCCFA" w14:textId="77777777" w:rsidR="00986A8A" w:rsidRPr="00986A8A" w:rsidRDefault="00986A8A" w:rsidP="00986A8A">
      <w:pPr>
        <w:tabs>
          <w:tab w:val="num" w:pos="0"/>
        </w:tabs>
        <w:ind w:left="-426"/>
        <w:jc w:val="both"/>
        <w:rPr>
          <w:rFonts w:asciiTheme="majorBidi" w:hAnsiTheme="majorBidi" w:cstheme="majorBidi"/>
        </w:rPr>
      </w:pPr>
    </w:p>
    <w:p w14:paraId="527E876E" w14:textId="6C8E8EEB" w:rsidR="00986A8A" w:rsidRPr="00986A8A" w:rsidRDefault="00986A8A" w:rsidP="00986A8A">
      <w:pPr>
        <w:tabs>
          <w:tab w:val="num" w:pos="0"/>
        </w:tabs>
        <w:ind w:left="-426"/>
        <w:jc w:val="both"/>
        <w:rPr>
          <w:rFonts w:asciiTheme="majorBidi" w:hAnsiTheme="majorBidi" w:cstheme="majorBidi"/>
        </w:rPr>
      </w:pPr>
      <w:r w:rsidRPr="00986A8A">
        <w:rPr>
          <w:rFonts w:asciiTheme="majorBidi" w:hAnsiTheme="majorBidi" w:cstheme="majorBidi"/>
        </w:rPr>
        <w:t>These findings should inform HR strategies to balance workforce stability, compensation adjustments, and employee development initiatives over the next three years.</w:t>
      </w:r>
    </w:p>
    <w:p w14:paraId="4A3A4A03" w14:textId="77777777" w:rsidR="001D6AF4" w:rsidRPr="00986A8A" w:rsidRDefault="001D6AF4" w:rsidP="00986A8A">
      <w:pPr>
        <w:ind w:left="-851"/>
        <w:jc w:val="both"/>
        <w:rPr>
          <w:rFonts w:asciiTheme="majorBidi" w:hAnsiTheme="majorBidi" w:cstheme="majorBidi"/>
        </w:rPr>
      </w:pPr>
    </w:p>
    <w:sectPr w:rsidR="001D6AF4" w:rsidRPr="00986A8A" w:rsidSect="00986A8A">
      <w:pgSz w:w="12240" w:h="15840"/>
      <w:pgMar w:top="950" w:right="735" w:bottom="45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E287E"/>
    <w:multiLevelType w:val="multilevel"/>
    <w:tmpl w:val="600A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71CA9"/>
    <w:multiLevelType w:val="multilevel"/>
    <w:tmpl w:val="7F60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16951"/>
    <w:multiLevelType w:val="multilevel"/>
    <w:tmpl w:val="483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A5697"/>
    <w:multiLevelType w:val="multilevel"/>
    <w:tmpl w:val="6326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278676">
    <w:abstractNumId w:val="3"/>
  </w:num>
  <w:num w:numId="2" w16cid:durableId="428821213">
    <w:abstractNumId w:val="1"/>
  </w:num>
  <w:num w:numId="3" w16cid:durableId="2100565489">
    <w:abstractNumId w:val="0"/>
  </w:num>
  <w:num w:numId="4" w16cid:durableId="207369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8A"/>
    <w:rsid w:val="00164BF8"/>
    <w:rsid w:val="001D6AF4"/>
    <w:rsid w:val="002B0427"/>
    <w:rsid w:val="006829FC"/>
    <w:rsid w:val="008D76D4"/>
    <w:rsid w:val="00986A8A"/>
    <w:rsid w:val="00A26DF2"/>
    <w:rsid w:val="00AF41F3"/>
    <w:rsid w:val="00E61AB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C6B70AB"/>
  <w15:chartTrackingRefBased/>
  <w15:docId w15:val="{EE9A4BD1-D6F9-5E4F-A89F-8EFF3C55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A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A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A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A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A8A"/>
    <w:rPr>
      <w:rFonts w:eastAsiaTheme="majorEastAsia" w:cstheme="majorBidi"/>
      <w:color w:val="272727" w:themeColor="text1" w:themeTint="D8"/>
    </w:rPr>
  </w:style>
  <w:style w:type="paragraph" w:styleId="Title">
    <w:name w:val="Title"/>
    <w:basedOn w:val="Normal"/>
    <w:next w:val="Normal"/>
    <w:link w:val="TitleChar"/>
    <w:uiPriority w:val="10"/>
    <w:qFormat/>
    <w:rsid w:val="00986A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A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A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6A8A"/>
    <w:rPr>
      <w:i/>
      <w:iCs/>
      <w:color w:val="404040" w:themeColor="text1" w:themeTint="BF"/>
    </w:rPr>
  </w:style>
  <w:style w:type="paragraph" w:styleId="ListParagraph">
    <w:name w:val="List Paragraph"/>
    <w:basedOn w:val="Normal"/>
    <w:uiPriority w:val="34"/>
    <w:qFormat/>
    <w:rsid w:val="00986A8A"/>
    <w:pPr>
      <w:ind w:left="720"/>
      <w:contextualSpacing/>
    </w:pPr>
  </w:style>
  <w:style w:type="character" w:styleId="IntenseEmphasis">
    <w:name w:val="Intense Emphasis"/>
    <w:basedOn w:val="DefaultParagraphFont"/>
    <w:uiPriority w:val="21"/>
    <w:qFormat/>
    <w:rsid w:val="00986A8A"/>
    <w:rPr>
      <w:i/>
      <w:iCs/>
      <w:color w:val="0F4761" w:themeColor="accent1" w:themeShade="BF"/>
    </w:rPr>
  </w:style>
  <w:style w:type="paragraph" w:styleId="IntenseQuote">
    <w:name w:val="Intense Quote"/>
    <w:basedOn w:val="Normal"/>
    <w:next w:val="Normal"/>
    <w:link w:val="IntenseQuoteChar"/>
    <w:uiPriority w:val="30"/>
    <w:qFormat/>
    <w:rsid w:val="00986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A8A"/>
    <w:rPr>
      <w:i/>
      <w:iCs/>
      <w:color w:val="0F4761" w:themeColor="accent1" w:themeShade="BF"/>
    </w:rPr>
  </w:style>
  <w:style w:type="character" w:styleId="IntenseReference">
    <w:name w:val="Intense Reference"/>
    <w:basedOn w:val="DefaultParagraphFont"/>
    <w:uiPriority w:val="32"/>
    <w:qFormat/>
    <w:rsid w:val="00986A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83655">
      <w:bodyDiv w:val="1"/>
      <w:marLeft w:val="0"/>
      <w:marRight w:val="0"/>
      <w:marTop w:val="0"/>
      <w:marBottom w:val="0"/>
      <w:divBdr>
        <w:top w:val="none" w:sz="0" w:space="0" w:color="auto"/>
        <w:left w:val="none" w:sz="0" w:space="0" w:color="auto"/>
        <w:bottom w:val="none" w:sz="0" w:space="0" w:color="auto"/>
        <w:right w:val="none" w:sz="0" w:space="0" w:color="auto"/>
      </w:divBdr>
    </w:div>
    <w:div w:id="127574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Qatara events</dc:creator>
  <cp:keywords/>
  <dc:description/>
  <cp:lastModifiedBy>Qatara events</cp:lastModifiedBy>
  <cp:revision>1</cp:revision>
  <dcterms:created xsi:type="dcterms:W3CDTF">2025-04-21T15:06:00Z</dcterms:created>
  <dcterms:modified xsi:type="dcterms:W3CDTF">2025-04-21T15:11:00Z</dcterms:modified>
</cp:coreProperties>
</file>