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ply Station Design for DJI RoboM</w:t>
      </w:r>
      <w:r>
        <w:rPr>
          <w:rFonts w:ascii="Times New Roman" w:hAnsi="Times New Roman" w:cs="Times New Roman"/>
          <w:b/>
          <w:sz w:val="36"/>
          <w:szCs w:val="36"/>
        </w:rPr>
        <w:t>aster</w:t>
      </w:r>
      <w:r w:rsidR="00D26354">
        <w:rPr>
          <w:rFonts w:ascii="Times New Roman" w:hAnsi="Times New Roman" w:cs="Times New Roman"/>
          <w:b/>
          <w:sz w:val="36"/>
          <w:szCs w:val="36"/>
        </w:rPr>
        <w:t>s</w:t>
      </w:r>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University of Alberta RoboM</w:t>
      </w:r>
      <w:r w:rsidR="0037220F">
        <w:rPr>
          <w:b/>
          <w:bCs/>
          <w:sz w:val="36"/>
          <w:szCs w:val="36"/>
        </w:rPr>
        <w:t>aster</w:t>
      </w:r>
      <w:r w:rsidR="00816DFB">
        <w:rPr>
          <w:b/>
          <w:bCs/>
          <w:sz w:val="36"/>
          <w:szCs w:val="36"/>
        </w:rPr>
        <w:t>s</w:t>
      </w:r>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b/>
          <w:bCs/>
          <w:noProof/>
        </w:rPr>
      </w:sdtEndPr>
      <w:sdtContent>
        <w:p w:rsidR="002158BB" w:rsidRDefault="002158BB">
          <w:pPr>
            <w:pStyle w:val="TOCHeading"/>
          </w:pPr>
          <w:r>
            <w:t>Contents</w:t>
          </w:r>
        </w:p>
        <w:p w:rsidR="00D17A4B" w:rsidRDefault="002158BB">
          <w:pPr>
            <w:pStyle w:val="TOC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Hyperlink"/>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7208F5">
          <w:pPr>
            <w:pStyle w:val="TOC1"/>
            <w:tabs>
              <w:tab w:val="right" w:leader="dot" w:pos="9350"/>
            </w:tabs>
            <w:rPr>
              <w:rFonts w:cstheme="minorBidi"/>
              <w:noProof/>
            </w:rPr>
          </w:pPr>
          <w:hyperlink w:anchor="_Toc495675014" w:history="1">
            <w:r w:rsidR="00D17A4B" w:rsidRPr="00341E4E">
              <w:rPr>
                <w:rStyle w:val="Hyperlink"/>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bookmarkStart w:id="0" w:name="_Toc495675013"/>
      <w:r>
        <w:lastRenderedPageBreak/>
        <w:t>Introduction</w:t>
      </w:r>
      <w:bookmarkEnd w:id="0"/>
    </w:p>
    <w:p w:rsidR="00D26354" w:rsidRDefault="00D26354" w:rsidP="00CE3EBD">
      <w:pPr>
        <w:pStyle w:val="paragraph"/>
        <w:ind w:firstLine="720"/>
        <w:jc w:val="both"/>
        <w:textAlignment w:val="baseline"/>
      </w:pPr>
      <w:r>
        <w:t>DJI Robo</w:t>
      </w:r>
      <w:r w:rsidR="00E85227">
        <w:t>M</w:t>
      </w:r>
      <w:r>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are able to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are able to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r w:rsidR="00E85227">
        <w:t xml:space="preserve">RoboMasters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are allowed to </w:t>
      </w:r>
      <w:r w:rsidR="002507D2">
        <w:t xml:space="preserve">refuel at the supply station, see table 1, but the team is planning to use the supply station only to refuel 3 infantry robots. The supply station needs to confirm with the </w:t>
      </w:r>
      <w:r w:rsidR="00AC1952">
        <w:t>RoboMasters</w:t>
      </w:r>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Conforms with DJI RoboMasters’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Heading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DJI RoboMasters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2E21BB" w:rsidRDefault="002E21BB" w:rsidP="008C522C">
      <w:pPr>
        <w:pStyle w:val="paragraph"/>
        <w:textAlignment w:val="baseline"/>
      </w:pPr>
    </w:p>
    <w:p w:rsidR="002E21BB" w:rsidRPr="00CC75ED" w:rsidRDefault="002E21BB" w:rsidP="008C522C">
      <w:pPr>
        <w:pStyle w:val="paragraph"/>
        <w:textAlignment w:val="baseline"/>
      </w:pPr>
    </w:p>
    <w:p w:rsidR="002E21BB" w:rsidRPr="00CC75ED" w:rsidRDefault="002E21BB" w:rsidP="00E74456"/>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w:t>
      </w:r>
      <w:r w:rsidRPr="00E74456">
        <w:rPr>
          <w:rFonts w:ascii="Times New Roman" w:hAnsi="Times New Roman" w:cs="Times New Roman"/>
          <w:sz w:val="24"/>
          <w:szCs w:val="24"/>
        </w:rPr>
        <w:t xml:space="preserve"> 2</w:t>
      </w:r>
      <w:r w:rsidRPr="00E74456">
        <w:rPr>
          <w:rFonts w:ascii="Times New Roman" w:hAnsi="Times New Roman" w:cs="Times New Roman"/>
          <w:sz w:val="24"/>
          <w:szCs w:val="24"/>
        </w:rPr>
        <w:t>: The Pairwise Comparison Table</w:t>
      </w:r>
    </w:p>
    <w:tbl>
      <w:tblPr>
        <w:tblStyle w:val="PlainTable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robots with </w:t>
            </w:r>
            <w:r w:rsidRPr="00E74456">
              <w:rPr>
                <w:rFonts w:ascii="Times New Roman" w:hAnsi="Times New Roman" w:cs="Times New Roman"/>
                <w:sz w:val="24"/>
                <w:szCs w:val="24"/>
              </w:rPr>
              <w:t>~</w:t>
            </w:r>
            <w:r w:rsidRPr="00E74456">
              <w:rPr>
                <w:rFonts w:ascii="Times New Roman" w:hAnsi="Times New Roman" w:cs="Times New Roman"/>
                <w:sz w:val="24"/>
                <w:szCs w:val="24"/>
              </w:rPr>
              <w:t>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be maintained &amp; </w:t>
            </w:r>
            <w:r w:rsidRPr="00E74456">
              <w:rPr>
                <w:rFonts w:ascii="Times New Roman" w:hAnsi="Times New Roman" w:cs="Times New Roman"/>
                <w:sz w:val="24"/>
                <w:szCs w:val="24"/>
              </w:rPr>
              <w:t xml:space="preserve">be </w:t>
            </w:r>
            <w:r w:rsidRPr="00E74456">
              <w:rPr>
                <w:rFonts w:ascii="Times New Roman" w:hAnsi="Times New Roman" w:cs="Times New Roman"/>
                <w:sz w:val="24"/>
                <w:szCs w:val="24"/>
              </w:rPr>
              <w:t>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Power Source to last for </w:t>
            </w:r>
            <w:r w:rsidRPr="00E74456">
              <w:rPr>
                <w:rFonts w:ascii="Times New Roman" w:hAnsi="Times New Roman" w:cs="Times New Roman"/>
                <w:sz w:val="24"/>
                <w:szCs w:val="24"/>
              </w:rPr>
              <w:t>30</w:t>
            </w:r>
            <w:r w:rsidRPr="00E74456">
              <w:rPr>
                <w:rFonts w:ascii="Times New Roman" w:hAnsi="Times New Roman" w:cs="Times New Roman"/>
                <w:sz w:val="24"/>
                <w:szCs w:val="24"/>
              </w:rPr>
              <w:t xml:space="preserve">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786"/>
        <w:gridCol w:w="1681"/>
        <w:gridCol w:w="1587"/>
        <w:gridCol w:w="1582"/>
        <w:gridCol w:w="1357"/>
        <w:gridCol w:w="1357"/>
      </w:tblGrid>
      <w:tr w:rsidR="00A43A7A" w:rsidRPr="00E74456" w:rsidTr="00674F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2E21BB" w:rsidRPr="00CC75ED" w:rsidRDefault="00CC75ED" w:rsidP="00E74456">
      <w:r w:rsidRPr="00E74456">
        <w:rPr>
          <w:rFonts w:ascii="Times New Roman" w:hAnsi="Times New Roman" w:cs="Times New Roman"/>
        </w:rPr>
        <w:t>Please note that the bullets that the supply station carries are plastic(TPE90) bullets that are 17mm (-3% - 0%) in diameter and weigh 2.6</w:t>
      </w:r>
      <w:proofErr w:type="gramStart"/>
      <w:r w:rsidRPr="00E74456">
        <w:rPr>
          <w:rFonts w:ascii="Times New Roman" w:hAnsi="Times New Roman" w:cs="Times New Roman"/>
        </w:rPr>
        <w:t>g(</w:t>
      </w:r>
      <w:proofErr w:type="gramEnd"/>
      <m:oMath>
        <m:r>
          <m:rPr>
            <m:sty m:val="p"/>
          </m:rPr>
          <w:rPr>
            <w:rFonts w:ascii="Cambria Math" w:hAnsi="Cambria Math" w:cs="Times New Roman"/>
          </w:rPr>
          <m:t>±5%)</m:t>
        </m:r>
      </m:oMath>
      <w:r w:rsidRPr="00E74456">
        <w:rPr>
          <w:rFonts w:ascii="Times New Roman" w:hAnsi="Times New Roman" w:cs="Times New Roman"/>
        </w:rPr>
        <w:t>.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w:t>
      </w:r>
      <w:bookmarkStart w:id="1" w:name="_GoBack"/>
      <w:bookmarkEnd w:id="1"/>
      <w:r w:rsidRPr="00E74456">
        <w:rPr>
          <w:rFonts w:ascii="Times New Roman" w:hAnsi="Times New Roman" w:cs="Times New Roman"/>
        </w:rPr>
        <w:t xml:space="preserv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sidRPr="00E74456">
        <w:rPr>
          <w:rFonts w:ascii="Times New Roman" w:hAnsi="Times New Roman" w:cs="Times New Roman"/>
        </w:rPr>
        <w:t>Robomaster</w:t>
      </w:r>
      <w:proofErr w:type="spellEnd"/>
      <w:r w:rsidRPr="00E74456">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w:t>
      </w:r>
      <w:r w:rsidR="00E74456">
        <w:rPr>
          <w:rFonts w:ascii="Times New Roman" w:hAnsi="Times New Roman" w:cs="Times New Roman"/>
        </w:rPr>
        <w:t>o infantry robots simultaneously.</w:t>
      </w:r>
    </w:p>
    <w:sectPr w:rsidR="002E21BB" w:rsidRPr="00CC75E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8F5" w:rsidRDefault="007208F5" w:rsidP="008C522C">
      <w:pPr>
        <w:spacing w:after="0" w:line="240" w:lineRule="auto"/>
      </w:pPr>
      <w:r>
        <w:separator/>
      </w:r>
    </w:p>
  </w:endnote>
  <w:endnote w:type="continuationSeparator" w:id="0">
    <w:p w:rsidR="007208F5" w:rsidRDefault="007208F5"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DA5A98" w:rsidRDefault="00DA5A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3A7A">
          <w:rPr>
            <w:noProof/>
          </w:rPr>
          <w:t>6</w:t>
        </w:r>
        <w:r>
          <w:rPr>
            <w:noProof/>
          </w:rPr>
          <w:fldChar w:fldCharType="end"/>
        </w:r>
        <w:r>
          <w:t xml:space="preserve"> | </w:t>
        </w:r>
        <w:r>
          <w:rPr>
            <w:color w:val="7F7F7F" w:themeColor="background1" w:themeShade="7F"/>
            <w:spacing w:val="60"/>
          </w:rPr>
          <w:t>Page</w:t>
        </w:r>
      </w:p>
    </w:sdtContent>
  </w:sdt>
  <w:p w:rsidR="00DA5A98" w:rsidRDefault="00DA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DA5A98" w:rsidRDefault="00DA5A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3A7A">
          <w:rPr>
            <w:noProof/>
          </w:rPr>
          <w:t>5</w:t>
        </w:r>
        <w:r>
          <w:rPr>
            <w:noProof/>
          </w:rPr>
          <w:fldChar w:fldCharType="end"/>
        </w:r>
        <w:r>
          <w:t xml:space="preserve"> | </w:t>
        </w:r>
        <w:r>
          <w:rPr>
            <w:color w:val="7F7F7F" w:themeColor="background1" w:themeShade="7F"/>
            <w:spacing w:val="60"/>
          </w:rPr>
          <w:t>Page</w:t>
        </w:r>
      </w:p>
    </w:sdtContent>
  </w:sdt>
  <w:p w:rsidR="00DA5A98" w:rsidRPr="002E21BB" w:rsidRDefault="00DA5A98"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8F5" w:rsidRDefault="007208F5" w:rsidP="008C522C">
      <w:pPr>
        <w:spacing w:after="0" w:line="240" w:lineRule="auto"/>
      </w:pPr>
      <w:r>
        <w:separator/>
      </w:r>
    </w:p>
  </w:footnote>
  <w:footnote w:type="continuationSeparator" w:id="0">
    <w:p w:rsidR="007208F5" w:rsidRDefault="007208F5"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A98" w:rsidRDefault="007208F5"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r w:rsidR="00DA5A98">
          <w:rPr>
            <w:color w:val="7F7F7F" w:themeColor="text1" w:themeTint="80"/>
          </w:rPr>
          <w:t>RoboMasters Supply Station</w:t>
        </w:r>
      </w:sdtContent>
    </w:sdt>
  </w:p>
  <w:p w:rsidR="00DA5A98" w:rsidRDefault="00DA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A98" w:rsidRDefault="007208F5">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r w:rsidR="00DA5A98">
          <w:rPr>
            <w:color w:val="7F7F7F" w:themeColor="text1" w:themeTint="80"/>
          </w:rPr>
          <w:t>RoboMasters Supply Station</w:t>
        </w:r>
      </w:sdtContent>
    </w:sdt>
  </w:p>
  <w:p w:rsidR="00DA5A98" w:rsidRDefault="00DA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2052DC"/>
    <w:rsid w:val="002158BB"/>
    <w:rsid w:val="002507D2"/>
    <w:rsid w:val="002C5818"/>
    <w:rsid w:val="002E21BB"/>
    <w:rsid w:val="00304D21"/>
    <w:rsid w:val="0037220F"/>
    <w:rsid w:val="003B1647"/>
    <w:rsid w:val="0045057A"/>
    <w:rsid w:val="00496778"/>
    <w:rsid w:val="004E684F"/>
    <w:rsid w:val="005005EA"/>
    <w:rsid w:val="005D18D3"/>
    <w:rsid w:val="00620647"/>
    <w:rsid w:val="0070583D"/>
    <w:rsid w:val="007208F5"/>
    <w:rsid w:val="00774F31"/>
    <w:rsid w:val="007A481F"/>
    <w:rsid w:val="00816DFB"/>
    <w:rsid w:val="00826CE2"/>
    <w:rsid w:val="00882409"/>
    <w:rsid w:val="008B1E43"/>
    <w:rsid w:val="008C522C"/>
    <w:rsid w:val="009915B5"/>
    <w:rsid w:val="009B781E"/>
    <w:rsid w:val="009F4959"/>
    <w:rsid w:val="00A43A7A"/>
    <w:rsid w:val="00AC177D"/>
    <w:rsid w:val="00AC1952"/>
    <w:rsid w:val="00BB68D2"/>
    <w:rsid w:val="00BF7A1B"/>
    <w:rsid w:val="00C04613"/>
    <w:rsid w:val="00CC75ED"/>
    <w:rsid w:val="00CE3EBD"/>
    <w:rsid w:val="00CF64DC"/>
    <w:rsid w:val="00D17A4B"/>
    <w:rsid w:val="00D26354"/>
    <w:rsid w:val="00D3052C"/>
    <w:rsid w:val="00DA03B8"/>
    <w:rsid w:val="00DA5A98"/>
    <w:rsid w:val="00DF7FB0"/>
    <w:rsid w:val="00E17FBB"/>
    <w:rsid w:val="00E44DEE"/>
    <w:rsid w:val="00E74456"/>
    <w:rsid w:val="00E85227"/>
    <w:rsid w:val="00F00BFD"/>
    <w:rsid w:val="00F50804"/>
    <w:rsid w:val="00F90348"/>
    <w:rsid w:val="00F917ED"/>
    <w:rsid w:val="00FC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E644A"/>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672F94"/>
    <w:rsid w:val="0088105A"/>
    <w:rsid w:val="00906244"/>
    <w:rsid w:val="00B2371D"/>
    <w:rsid w:val="00CD5744"/>
    <w:rsid w:val="00ED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A5E6-2940-4A25-80FD-68D1606B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12</cp:revision>
  <dcterms:created xsi:type="dcterms:W3CDTF">2017-09-25T17:53:00Z</dcterms:created>
  <dcterms:modified xsi:type="dcterms:W3CDTF">2017-10-13T23:56:00Z</dcterms:modified>
</cp:coreProperties>
</file>