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jc w:val="center"/>
        <w:rPr>
          <w:rFonts w:eastAsia="MS Mincho;ＭＳ 明朝"/>
          <w:b/>
          <w:b/>
          <w:sz w:val="26"/>
          <w:szCs w:val="26"/>
          <w:lang w:val="en-US" w:eastAsia="ja-JP"/>
        </w:rPr>
      </w:pPr>
      <w:r>
        <w:rPr>
          <w:rFonts w:eastAsia="MS Mincho;ＭＳ 明朝"/>
          <w:b/>
          <w:sz w:val="26"/>
          <w:szCs w:val="26"/>
          <w:lang w:val="en-US" w:eastAsia="ja-JP"/>
        </w:rPr>
        <w:t>“</w:t>
      </w:r>
      <w:r>
        <w:rPr>
          <w:rFonts w:eastAsia="MS Mincho;ＭＳ 明朝"/>
          <w:b/>
          <w:sz w:val="26"/>
          <w:szCs w:val="26"/>
          <w:lang w:val="en-US" w:eastAsia="ja-JP"/>
        </w:rPr>
        <w:t xml:space="preserve">Co-location” xizmatini ko’rsatish to’g’risidagi </w:t>
      </w:r>
    </w:p>
    <w:p>
      <w:pPr>
        <w:pStyle w:val="Normal"/>
        <w:widowControl/>
        <w:suppressAutoHyphens w:val="true"/>
        <w:jc w:val="center"/>
        <w:rPr/>
      </w:pPr>
      <w:r>
        <w:rPr>
          <w:rFonts w:eastAsia="MS Mincho;ＭＳ 明朝"/>
          <w:b/>
          <w:sz w:val="26"/>
          <w:szCs w:val="26"/>
          <w:lang w:val="en-US" w:eastAsia="ja-JP"/>
        </w:rPr>
        <w:t>{{</w:t>
      </w:r>
      <w:r>
        <w:rPr>
          <w:rFonts w:eastAsia="MS Mincho"/>
          <w:b/>
          <w:sz w:val="26"/>
          <w:szCs w:val="26"/>
          <w:lang w:val="en-US" w:eastAsia="ja-JP"/>
        </w:rPr>
        <w:t>contract_number</w:t>
      </w:r>
      <w:r>
        <w:rPr>
          <w:rFonts w:eastAsia="MS Mincho;ＭＳ 明朝"/>
          <w:b/>
          <w:sz w:val="26"/>
          <w:szCs w:val="26"/>
          <w:lang w:val="en-US" w:eastAsia="ja-JP"/>
        </w:rPr>
        <w:t>}} - sonli</w:t>
      </w:r>
    </w:p>
    <w:p>
      <w:pPr>
        <w:pStyle w:val="Normal"/>
        <w:widowControl/>
        <w:suppressAutoHyphens w:val="true"/>
        <w:jc w:val="center"/>
        <w:rPr>
          <w:rFonts w:eastAsia="MS Mincho;ＭＳ 明朝"/>
          <w:b/>
          <w:b/>
          <w:sz w:val="26"/>
          <w:szCs w:val="26"/>
          <w:lang w:val="en-US" w:eastAsia="ja-JP"/>
        </w:rPr>
      </w:pPr>
      <w:r>
        <w:rPr>
          <w:rFonts w:eastAsia="MS Mincho;ＭＳ 明朝"/>
          <w:b/>
          <w:sz w:val="26"/>
          <w:szCs w:val="26"/>
          <w:lang w:val="en-US" w:eastAsia="ja-JP"/>
        </w:rPr>
        <w:t>SHARTNOMA</w:t>
      </w:r>
    </w:p>
    <w:p>
      <w:pPr>
        <w:pStyle w:val="Normal"/>
        <w:widowControl/>
        <w:tabs>
          <w:tab w:val="clear" w:pos="708"/>
          <w:tab w:val="left" w:pos="1985" w:leader="none"/>
        </w:tabs>
        <w:suppressAutoHyphens w:val="true"/>
        <w:ind w:firstLine="284"/>
        <w:jc w:val="center"/>
        <w:rPr>
          <w:rFonts w:eastAsia="MS Mincho;ＭＳ 明朝"/>
          <w:b/>
          <w:b/>
          <w:sz w:val="26"/>
          <w:szCs w:val="26"/>
          <w:lang w:val="en-US" w:eastAsia="ja-JP"/>
        </w:rPr>
      </w:pPr>
      <w:r>
        <w:rPr>
          <w:rFonts w:eastAsia="MS Mincho;ＭＳ 明朝"/>
          <w:b/>
          <w:sz w:val="26"/>
          <w:szCs w:val="26"/>
          <w:lang w:val="en-US" w:eastAsia="ja-JP"/>
        </w:rPr>
      </w:r>
    </w:p>
    <w:p>
      <w:pPr>
        <w:pStyle w:val="Normal"/>
        <w:widowControl/>
        <w:tabs>
          <w:tab w:val="clear" w:pos="708"/>
          <w:tab w:val="left" w:pos="6096" w:leader="none"/>
        </w:tabs>
        <w:suppressAutoHyphens w:val="true"/>
        <w:ind w:firstLine="567"/>
        <w:jc w:val="both"/>
        <w:rPr>
          <w:rFonts w:eastAsia="MS Mincho;ＭＳ 明朝"/>
          <w:b/>
          <w:b/>
          <w:sz w:val="26"/>
          <w:szCs w:val="26"/>
          <w:lang w:val="en-US" w:eastAsia="ja-JP"/>
        </w:rPr>
      </w:pPr>
      <w:r>
        <w:rPr>
          <w:rFonts w:eastAsia="MS Mincho;ＭＳ 明朝"/>
          <w:b/>
          <w:sz w:val="26"/>
          <w:szCs w:val="26"/>
          <w:lang w:val="en-US" w:eastAsia="ja-JP"/>
        </w:rPr>
        <w:t>Toshkent sh.</w:t>
        <w:tab/>
        <w:tab/>
        <w:tab/>
        <w:tab/>
      </w:r>
      <w:r>
        <w:rPr>
          <w:rFonts w:eastAsia="MS Mincho;ＭＳ 明朝"/>
          <w:b/>
          <w:bCs/>
          <w:sz w:val="26"/>
          <w:szCs w:val="26"/>
          <w:lang w:val="en-US" w:eastAsia="ja-JP"/>
        </w:rPr>
        <w:t>{{day}}.{{month}}</w:t>
      </w:r>
      <w:r>
        <w:rPr>
          <w:rFonts w:eastAsia="MS Mincho;ＭＳ 明朝"/>
          <w:b/>
          <w:bCs/>
          <w:sz w:val="26"/>
          <w:szCs w:val="26"/>
          <w:lang w:val="uz-Cyrl-UZ" w:eastAsia="ja-JP"/>
        </w:rPr>
        <w:t>.</w:t>
      </w:r>
      <w:r>
        <w:rPr>
          <w:rFonts w:eastAsia="MS Mincho;ＭＳ 明朝"/>
          <w:b/>
          <w:bCs/>
          <w:sz w:val="26"/>
          <w:szCs w:val="26"/>
          <w:lang w:val="en-US" w:eastAsia="ja-JP"/>
        </w:rPr>
        <w:t>{{year}}</w:t>
      </w:r>
    </w:p>
    <w:p>
      <w:pPr>
        <w:pStyle w:val="Normal"/>
        <w:widowControl/>
        <w:suppressAutoHyphens w:val="true"/>
        <w:ind w:firstLine="567"/>
        <w:jc w:val="both"/>
        <w:rPr>
          <w:rFonts w:eastAsia="MS Mincho;ＭＳ 明朝"/>
          <w:b/>
          <w:b/>
          <w:sz w:val="26"/>
          <w:szCs w:val="26"/>
          <w:lang w:val="en-US" w:eastAsia="ja-JP"/>
        </w:rPr>
      </w:pPr>
      <w:r>
        <w:rPr>
          <w:rFonts w:eastAsia="MS Mincho;ＭＳ 明朝"/>
          <w:b/>
          <w:sz w:val="26"/>
          <w:szCs w:val="26"/>
          <w:lang w:val="en-US" w:eastAsia="ja-JP"/>
        </w:rPr>
      </w:r>
    </w:p>
    <w:p>
      <w:pPr>
        <w:pStyle w:val="Normal"/>
        <w:widowControl/>
        <w:suppressAutoHyphens w:val="true"/>
        <w:ind w:firstLine="567"/>
        <w:jc w:val="both"/>
        <w:rPr>
          <w:color w:val="000000"/>
          <w:sz w:val="26"/>
          <w:szCs w:val="26"/>
          <w:lang w:val="en-US"/>
        </w:rPr>
      </w:pPr>
      <w:r>
        <w:rPr>
          <w:b/>
          <w:bCs/>
          <w:color w:val="000000"/>
          <w:sz w:val="26"/>
          <w:szCs w:val="26"/>
          <w:lang w:val="en-US"/>
        </w:rPr>
        <w:t>“</w:t>
      </w:r>
      <w:r>
        <w:rPr>
          <w:b/>
          <w:bCs/>
          <w:color w:val="000000"/>
          <w:sz w:val="26"/>
          <w:szCs w:val="26"/>
          <w:lang w:val="en-US"/>
        </w:rPr>
        <w:t>UNICON.UZ” Fan-tehnika va marketing tadqiqotlari markazi davlat unitar korxonasi</w:t>
      </w:r>
      <w:r>
        <w:rPr>
          <w:color w:val="000000"/>
          <w:sz w:val="26"/>
          <w:szCs w:val="26"/>
          <w:lang w:val="en-US"/>
        </w:rPr>
        <w:t xml:space="preserve">, keyingi o’rinlarda “Ijrochi” deb yuritiladi, Nizom asosida ish yurituvchi, direktor </w:t>
      </w:r>
      <w:r>
        <w:rPr>
          <w:b/>
          <w:bCs/>
          <w:color w:val="000000"/>
          <w:sz w:val="26"/>
          <w:szCs w:val="26"/>
          <w:lang w:val="en-US"/>
        </w:rPr>
        <w:t>M.M. Maxmudov</w:t>
      </w:r>
      <w:r>
        <w:rPr>
          <w:color w:val="000000"/>
          <w:sz w:val="26"/>
          <w:szCs w:val="26"/>
          <w:lang w:val="en-US"/>
        </w:rPr>
        <w:t xml:space="preserve"> bir tomondan, {{</w:t>
      </w:r>
      <w:bookmarkStart w:id="0" w:name="__DdeLink__743_1560807592"/>
      <w:r>
        <w:rPr>
          <w:color w:val="000000"/>
          <w:sz w:val="26"/>
          <w:szCs w:val="26"/>
          <w:lang w:val="en-US"/>
        </w:rPr>
        <w:t>p</w:t>
      </w:r>
      <w:bookmarkEnd w:id="0"/>
      <w:r>
        <w:rPr>
          <w:color w:val="000000"/>
          <w:sz w:val="26"/>
          <w:szCs w:val="26"/>
          <w:lang w:val="en-US"/>
        </w:rPr>
        <w:t>er_adr}} yashovchi, {{</w:t>
      </w:r>
      <w:bookmarkStart w:id="1" w:name="__DdeLink__760_1560807592"/>
      <w:r>
        <w:rPr>
          <w:color w:val="000000"/>
          <w:sz w:val="26"/>
          <w:szCs w:val="26"/>
          <w:lang w:val="en-US"/>
        </w:rPr>
        <w:t>pport_no</w:t>
      </w:r>
      <w:bookmarkEnd w:id="1"/>
      <w:r>
        <w:rPr>
          <w:color w:val="000000"/>
          <w:sz w:val="26"/>
          <w:szCs w:val="26"/>
          <w:lang w:val="en-US"/>
        </w:rPr>
        <w:t xml:space="preserve">}} raqamli fuqarolik pasporti egasi fuqaro </w:t>
      </w:r>
      <w:r>
        <w:rPr>
          <w:b/>
          <w:bCs/>
          <w:color w:val="000000"/>
          <w:sz w:val="26"/>
          <w:szCs w:val="26"/>
          <w:lang w:val="en-US"/>
        </w:rPr>
        <w:t>{{client}}</w:t>
      </w:r>
      <w:r>
        <w:rPr>
          <w:color w:val="000000"/>
          <w:sz w:val="26"/>
          <w:szCs w:val="26"/>
          <w:lang w:val="en-US"/>
        </w:rPr>
        <w:t xml:space="preserve"> </w:t>
      </w:r>
      <w:r>
        <w:rPr>
          <w:rFonts w:eastAsia="MS Mincho;ＭＳ 明朝"/>
          <w:color w:val="000000"/>
          <w:sz w:val="26"/>
          <w:szCs w:val="26"/>
          <w:lang w:val="en-US" w:eastAsia="ja-JP"/>
        </w:rPr>
        <w:t xml:space="preserve"> keyingi o’rinlarda “Buyurtmachi” deb yuritiladi, </w:t>
      </w:r>
      <w:r>
        <w:rPr>
          <w:color w:val="000000"/>
          <w:sz w:val="26"/>
          <w:szCs w:val="26"/>
          <w:lang w:val="en-US"/>
        </w:rPr>
        <w:t>ikkinchi tomondan, keyingi o’rinlarda birgalikda “Tomonlar”deb yuritiladi, ushbu Shartnomani quyidagi mazmunda tuzdilar:</w:t>
      </w:r>
    </w:p>
    <w:p>
      <w:pPr>
        <w:pStyle w:val="Normal"/>
        <w:ind w:firstLine="567"/>
        <w:jc w:val="both"/>
        <w:rPr>
          <w:b/>
          <w:b/>
          <w:color w:val="000000"/>
          <w:sz w:val="26"/>
          <w:szCs w:val="26"/>
          <w:lang w:val="en-US"/>
        </w:rPr>
      </w:pPr>
      <w:r>
        <w:rPr>
          <w:b/>
          <w:color w:val="000000"/>
          <w:sz w:val="26"/>
          <w:szCs w:val="26"/>
          <w:lang w:val="en-US"/>
        </w:rPr>
      </w:r>
    </w:p>
    <w:p>
      <w:pPr>
        <w:pStyle w:val="Normal"/>
        <w:widowControl/>
        <w:suppressAutoHyphens w:val="true"/>
        <w:ind w:firstLine="567"/>
        <w:jc w:val="center"/>
        <w:rPr>
          <w:b/>
          <w:b/>
          <w:color w:val="000000"/>
          <w:sz w:val="26"/>
          <w:szCs w:val="26"/>
          <w:lang w:val="en-US"/>
        </w:rPr>
      </w:pPr>
      <w:r>
        <w:rPr>
          <w:b/>
          <w:color w:val="000000"/>
          <w:sz w:val="26"/>
          <w:szCs w:val="26"/>
          <w:lang w:val="en-US"/>
        </w:rPr>
        <w:t>1. Shartnoma predmeti</w:t>
      </w:r>
    </w:p>
    <w:p>
      <w:pPr>
        <w:pStyle w:val="Normal"/>
        <w:widowControl/>
        <w:suppressAutoHyphens w:val="true"/>
        <w:ind w:firstLine="567"/>
        <w:jc w:val="both"/>
        <w:rPr/>
      </w:pPr>
      <w:r>
        <w:rPr>
          <w:color w:val="000000"/>
          <w:sz w:val="26"/>
          <w:szCs w:val="26"/>
          <w:lang w:val="en-US"/>
        </w:rPr>
        <w:t xml:space="preserve">1.1. Ijrochi Buyurtmachiga server va/yoki tarmoq uskunalarini (keyingi o`rinlarda - Uskunalar) Toshkent shahri Mingbuloq ko’chasi 38-uy manzilidagi Ijrochining Data-markaziga joylashtirgan holda ushbu Shartnoma shartlarida belgilangan tartibda </w:t>
        <w:br/>
        <w:t>“Co-location” (server va/yoki tarmoq uskunalarini Data-markazga joylashtirish) xizmatini taqdim etadi.</w:t>
      </w:r>
    </w:p>
    <w:p>
      <w:pPr>
        <w:pStyle w:val="Normal"/>
        <w:widowControl/>
        <w:suppressAutoHyphens w:val="true"/>
        <w:ind w:firstLine="567"/>
        <w:jc w:val="both"/>
        <w:rPr/>
      </w:pPr>
      <w:r>
        <w:rPr>
          <w:sz w:val="26"/>
          <w:szCs w:val="26"/>
          <w:lang w:val="en-US"/>
        </w:rPr>
        <w:t>1.2. Uskunalarni joylashtirish tartibi ushbu shartnomaning ajralmas qismi hisoblangan Data markazga kirish qoidalariga muvofiq amalga oshiriladi.</w:t>
      </w:r>
    </w:p>
    <w:p>
      <w:pPr>
        <w:pStyle w:val="Normal"/>
        <w:widowControl/>
        <w:suppressAutoHyphens w:val="true"/>
        <w:ind w:firstLine="567"/>
        <w:jc w:val="both"/>
        <w:rPr/>
      </w:pPr>
      <w:r>
        <w:rPr>
          <w:sz w:val="26"/>
          <w:szCs w:val="26"/>
          <w:lang w:val="en-US"/>
        </w:rPr>
        <w:t>1.3. Buyurtmachi tomonidan Ijrochiga topshirilgan uskunalar ushbu shartnomaning ajralmas qismi hisoblangan Data markazga kirish qoidalarida tavsiflangan.</w:t>
      </w:r>
    </w:p>
    <w:p>
      <w:pPr>
        <w:pStyle w:val="Normal"/>
        <w:widowControl/>
        <w:suppressAutoHyphens w:val="true"/>
        <w:ind w:firstLine="567"/>
        <w:jc w:val="both"/>
        <w:rPr/>
      </w:pPr>
      <w:r>
        <w:rPr>
          <w:sz w:val="26"/>
          <w:szCs w:val="26"/>
          <w:lang w:val="en-US"/>
        </w:rPr>
        <w:t>1.4. Buyurtmachiga, zarur hollarda, Uskunada saqlangan axborot resurslari bilan ishlash uchun Uskunaga to’g’ridan-to’g’ri va masofaviy kirish imkoniyati taqdim etiladi. Uskunaga to’g’ridan-to’g’ri kirish Data markazga kirish qoidalariga muvofiq amalga oshiriladi.</w:t>
      </w:r>
    </w:p>
    <w:p>
      <w:pPr>
        <w:pStyle w:val="Normal"/>
        <w:widowControl/>
        <w:suppressAutoHyphens w:val="true"/>
        <w:ind w:firstLine="567"/>
        <w:jc w:val="both"/>
        <w:rPr/>
      </w:pPr>
      <w:r>
        <w:rPr>
          <w:sz w:val="26"/>
          <w:szCs w:val="26"/>
          <w:lang w:val="en-US"/>
        </w:rPr>
        <w:t>1.5. Xizmatlarni ko’rsatish muddati Ijrochi tomonidan avans to’lovi olingan kundan boshlab 6 oyni tashkil etadi.</w:t>
      </w:r>
    </w:p>
    <w:p>
      <w:pPr>
        <w:pStyle w:val="Normal"/>
        <w:widowControl/>
        <w:suppressAutoHyphens w:val="true"/>
        <w:jc w:val="both"/>
        <w:rPr>
          <w:b/>
          <w:b/>
          <w:sz w:val="26"/>
          <w:szCs w:val="26"/>
          <w:lang w:val="en-US"/>
        </w:rPr>
      </w:pPr>
      <w:r>
        <w:rPr>
          <w:b/>
          <w:sz w:val="26"/>
          <w:szCs w:val="26"/>
          <w:lang w:val="en-US"/>
        </w:rPr>
      </w:r>
    </w:p>
    <w:p>
      <w:pPr>
        <w:pStyle w:val="Normal"/>
        <w:widowControl/>
        <w:suppressAutoHyphens w:val="true"/>
        <w:jc w:val="center"/>
        <w:rPr/>
      </w:pPr>
      <w:r>
        <w:rPr>
          <w:b/>
          <w:sz w:val="26"/>
          <w:szCs w:val="26"/>
          <w:lang w:val="en-US"/>
        </w:rPr>
        <w:t>2. Shartnomaning umumiy miqdori va o’zaro hisob-kitoblar tartibi</w:t>
      </w:r>
    </w:p>
    <w:p>
      <w:pPr>
        <w:pStyle w:val="Normal"/>
        <w:widowControl/>
        <w:suppressAutoHyphens w:val="true"/>
        <w:ind w:firstLine="567"/>
        <w:jc w:val="both"/>
        <w:rPr/>
      </w:pPr>
      <w:r>
        <w:rPr>
          <w:sz w:val="26"/>
          <w:szCs w:val="26"/>
          <w:lang w:val="en-US"/>
        </w:rPr>
        <w:t xml:space="preserve">2.1. Ushbu shartnomaning umumiy summasi ushbu shartnomaning ajralmas qismi hisoblangan </w:t>
      </w:r>
      <w:r>
        <w:rPr>
          <w:b/>
          <w:sz w:val="26"/>
          <w:szCs w:val="26"/>
          <w:lang w:val="en-US"/>
        </w:rPr>
        <w:t>1-ilovada</w:t>
      </w:r>
      <w:r>
        <w:rPr>
          <w:sz w:val="26"/>
          <w:szCs w:val="26"/>
          <w:lang w:val="en-US"/>
        </w:rPr>
        <w:t xml:space="preserve"> ko’rsatilgan shartnoma narxini kelishish bayonnomasiga muvofiq QQSni o’z ichiga olgan holda. </w:t>
      </w:r>
      <w:r>
        <w:rPr>
          <w:rFonts w:eastAsia="MS Mincho;ＭＳ 明朝"/>
          <w:b/>
          <w:color w:val="000000"/>
          <w:sz w:val="26"/>
          <w:szCs w:val="26"/>
          <w:lang w:val="en-US" w:eastAsia="ja-JP"/>
        </w:rPr>
        <w:t>{{price}}</w:t>
      </w:r>
      <w:r>
        <w:rPr>
          <w:rFonts w:eastAsia="MS Mincho"/>
          <w:color w:val="000000"/>
          <w:sz w:val="26"/>
          <w:szCs w:val="26"/>
          <w:lang w:val="en-US" w:eastAsia="ja-JP"/>
        </w:rPr>
        <w:t xml:space="preserve"> (</w:t>
      </w:r>
      <w:r>
        <w:rPr>
          <w:rFonts w:eastAsia="MS Mincho;ＭＳ 明朝"/>
          <w:b/>
          <w:color w:val="000000"/>
          <w:sz w:val="26"/>
          <w:szCs w:val="26"/>
          <w:lang w:val="en-US" w:eastAsia="ja-JP"/>
        </w:rPr>
        <w:t>{{price_text}}</w:t>
      </w:r>
      <w:r>
        <w:rPr>
          <w:rFonts w:eastAsia="MS Mincho"/>
          <w:color w:val="000000"/>
          <w:sz w:val="26"/>
          <w:szCs w:val="26"/>
          <w:lang w:val="en-US" w:eastAsia="ja-JP"/>
        </w:rPr>
        <w:t>)</w:t>
      </w:r>
      <w:r>
        <w:rPr>
          <w:sz w:val="26"/>
          <w:szCs w:val="26"/>
          <w:lang w:val="en-US"/>
        </w:rPr>
        <w:t xml:space="preserve"> so’mni tashkil etadi, bu summa ichiga uskunalarni joylashtirish xizmatlari uchun qat’iy belgilangan oylik abonent to’lovi uchun </w:t>
      </w:r>
      <w:r>
        <w:rPr>
          <w:rFonts w:eastAsia="MS Mincho;ＭＳ 明朝"/>
          <w:b/>
          <w:color w:val="000000"/>
          <w:sz w:val="26"/>
          <w:szCs w:val="26"/>
          <w:lang w:val="en-US" w:eastAsia="ja-JP"/>
        </w:rPr>
        <w:t>{{price_month}}</w:t>
      </w:r>
      <w:r>
        <w:rPr>
          <w:rFonts w:eastAsia="MS Mincho"/>
          <w:color w:val="000000"/>
          <w:sz w:val="26"/>
          <w:szCs w:val="26"/>
          <w:lang w:val="en-US" w:eastAsia="ja-JP"/>
        </w:rPr>
        <w:t xml:space="preserve"> (</w:t>
      </w:r>
      <w:r>
        <w:rPr>
          <w:rFonts w:eastAsia="MS Mincho;ＭＳ 明朝"/>
          <w:b/>
          <w:color w:val="000000"/>
          <w:sz w:val="26"/>
          <w:szCs w:val="26"/>
          <w:lang w:val="en-US" w:eastAsia="ja-JP"/>
        </w:rPr>
        <w:t>{{price_month_text}}</w:t>
      </w:r>
      <w:r>
        <w:rPr>
          <w:rFonts w:eastAsia="MS Mincho"/>
          <w:color w:val="000000"/>
          <w:sz w:val="26"/>
          <w:szCs w:val="26"/>
          <w:lang w:val="en-US" w:eastAsia="ja-JP"/>
        </w:rPr>
        <w:t>)</w:t>
      </w:r>
      <w:r>
        <w:rPr>
          <w:sz w:val="26"/>
          <w:szCs w:val="26"/>
          <w:lang w:val="en-US"/>
        </w:rPr>
        <w:t xml:space="preserve"> so’m kiradi.</w:t>
      </w:r>
    </w:p>
    <w:p>
      <w:pPr>
        <w:pStyle w:val="Normal"/>
        <w:widowControl/>
        <w:suppressAutoHyphens w:val="true"/>
        <w:ind w:firstLine="567"/>
        <w:jc w:val="both"/>
        <w:rPr/>
      </w:pPr>
      <w:r>
        <w:rPr>
          <w:sz w:val="26"/>
          <w:szCs w:val="26"/>
          <w:lang w:val="en-US"/>
        </w:rPr>
        <w:t>Xizmatlar uchun to’lov har oy ushbu Shartnomaga muvofiq oylik abonent to’lovi summasini oldindan 100 foizi miqdorda to’lash asosida amalga oshiriladi.</w:t>
      </w:r>
    </w:p>
    <w:p>
      <w:pPr>
        <w:pStyle w:val="Normal"/>
        <w:widowControl/>
        <w:suppressAutoHyphens w:val="true"/>
        <w:ind w:firstLine="567"/>
        <w:jc w:val="both"/>
        <w:rPr/>
      </w:pPr>
      <w:r>
        <w:rPr>
          <w:sz w:val="26"/>
          <w:szCs w:val="26"/>
          <w:lang w:val="en-US"/>
        </w:rPr>
        <w:t>2.2. Buyurtmachi to’lovni quyidagi tartibda amalga oshiradi:</w:t>
      </w:r>
    </w:p>
    <w:p>
      <w:pPr>
        <w:pStyle w:val="Normal"/>
        <w:widowControl/>
        <w:suppressAutoHyphens w:val="true"/>
        <w:ind w:firstLine="567"/>
        <w:jc w:val="both"/>
        <w:rPr>
          <w:sz w:val="26"/>
          <w:szCs w:val="26"/>
          <w:lang w:val="en-US"/>
        </w:rPr>
      </w:pPr>
      <w:r>
        <w:rPr>
          <w:sz w:val="26"/>
          <w:szCs w:val="26"/>
          <w:lang w:val="en-US"/>
        </w:rPr>
        <w:t xml:space="preserve">Buyurtmachi tomonidan to’lovlarni amalga oshirish majburiyati ushbu shartnoma Tomonlar o’zaro imzolagan kundan boshlab yuzaga keladi va Buyurtmachi </w:t>
      </w:r>
      <w:r>
        <w:rPr>
          <w:rFonts w:eastAsia="MS Mincho"/>
          <w:b/>
          <w:color w:val="000000"/>
          <w:sz w:val="26"/>
          <w:szCs w:val="26"/>
          <w:lang w:val="en-US" w:eastAsia="ja-JP"/>
        </w:rPr>
        <w:t>{{price_month_avans}}</w:t>
      </w:r>
      <w:r>
        <w:rPr>
          <w:rFonts w:eastAsia="MS Mincho"/>
          <w:color w:val="000000"/>
          <w:sz w:val="26"/>
          <w:szCs w:val="26"/>
          <w:lang w:val="en-US" w:eastAsia="ja-JP"/>
        </w:rPr>
        <w:t xml:space="preserve"> (</w:t>
      </w:r>
      <w:r>
        <w:rPr>
          <w:rFonts w:eastAsia="MS Mincho"/>
          <w:b/>
          <w:color w:val="000000"/>
          <w:sz w:val="26"/>
          <w:szCs w:val="26"/>
          <w:lang w:val="en-US" w:eastAsia="ja-JP"/>
        </w:rPr>
        <w:t>{{price_month_avans_text}}</w:t>
      </w:r>
      <w:r>
        <w:rPr>
          <w:rFonts w:eastAsia="MS Mincho"/>
          <w:color w:val="000000"/>
          <w:sz w:val="26"/>
          <w:szCs w:val="26"/>
          <w:lang w:val="en-US" w:eastAsia="ja-JP"/>
        </w:rPr>
        <w:t>)</w:t>
      </w:r>
      <w:r>
        <w:rPr>
          <w:sz w:val="26"/>
          <w:szCs w:val="26"/>
          <w:lang w:val="en-US"/>
        </w:rPr>
        <w:t xml:space="preserve"> so’mni tashkil etadigan oylik abonent to’lovi miqdorining 100% (yuz foiz) miqdorida avans to’lovini ushbu shartnoma imzolangan kundan boshlab 5 (besh) kuni ichida amalga oshiradi.</w:t>
      </w:r>
    </w:p>
    <w:p>
      <w:pPr>
        <w:pStyle w:val="Normal"/>
        <w:widowControl/>
        <w:suppressAutoHyphens w:val="true"/>
        <w:ind w:firstLine="567"/>
        <w:jc w:val="both"/>
        <w:rPr/>
      </w:pPr>
      <w:r>
        <w:rPr>
          <w:sz w:val="26"/>
          <w:szCs w:val="26"/>
          <w:lang w:val="en-US"/>
        </w:rPr>
        <w:t>Keyingi oydan boshlab Buyurtmachi 3 (uch) ish kuni ichida Ijrochi tomonidan taqdim etilgan hisob-faktura va xizmatlarni ko’rsatish (ishlarni bajarish) to’g’risidagi dalolatnoma asosida Buyurtmachi tomonidan qabul qilingan paytdan boshlab Uskunalarni joylashtirish xizmatlari uchun oylik abonent to’lovini to’lab boradi.</w:t>
      </w:r>
    </w:p>
    <w:p>
      <w:pPr>
        <w:pStyle w:val="Normal"/>
        <w:widowControl/>
        <w:suppressAutoHyphens w:val="true"/>
        <w:ind w:firstLine="567"/>
        <w:jc w:val="both"/>
        <w:rPr/>
      </w:pPr>
      <w:r>
        <w:rPr>
          <w:sz w:val="26"/>
          <w:szCs w:val="26"/>
          <w:lang w:val="en-US"/>
        </w:rPr>
        <w:t>2.3. Buyurtmachi tomonidan ushbu shartnoma bo’yicha Ijrochi tomonidan taqdim etilgan xizmatlardan foydalanmaslik ushbu xizmatlar uchun to’lanmaslik uchun sabab bo’lmaydi.</w:t>
      </w:r>
    </w:p>
    <w:p>
      <w:pPr>
        <w:pStyle w:val="Normal"/>
        <w:widowControl/>
        <w:suppressAutoHyphens w:val="true"/>
        <w:ind w:firstLine="567"/>
        <w:jc w:val="both"/>
        <w:rPr/>
      </w:pPr>
      <w:r>
        <w:rPr>
          <w:sz w:val="26"/>
          <w:szCs w:val="26"/>
          <w:lang w:val="en-US"/>
        </w:rPr>
        <w:t xml:space="preserve">2.4. Agar Buyurtmachi Ijrochi tomonidan ko’rsatilgan xizmatlar bo’yicha o’z da’volarini 10 (o’n) ish kuni ichida yozma yoki elektron shaklda yubormasa, Ijrochi tomonidan taqdim etilgan hisob-faktura va xizmatlar (ishlarni bajarish) to’g’risidagi dalolatnoma asosida qabul qilingan hisoblanadi va ish belgilangan tartibda yakunlanadi.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pPr>
      <w:r>
        <w:rPr>
          <w:b/>
          <w:sz w:val="26"/>
          <w:szCs w:val="26"/>
          <w:lang w:val="en-US"/>
        </w:rPr>
        <w:t>3. Tomonlarning huquq va majburiyatlari</w:t>
      </w:r>
    </w:p>
    <w:p>
      <w:pPr>
        <w:pStyle w:val="Normal"/>
        <w:widowControl/>
        <w:suppressAutoHyphens w:val="true"/>
        <w:ind w:firstLine="567"/>
        <w:rPr/>
      </w:pPr>
      <w:r>
        <w:rPr>
          <w:b/>
          <w:sz w:val="26"/>
          <w:szCs w:val="26"/>
          <w:lang w:val="en-US"/>
        </w:rPr>
        <w:t>3.1. Ijrochi quyidagi huquqlarga ega:</w:t>
      </w:r>
    </w:p>
    <w:p>
      <w:pPr>
        <w:pStyle w:val="Normal"/>
        <w:widowControl/>
        <w:suppressAutoHyphens w:val="true"/>
        <w:ind w:firstLine="567"/>
        <w:jc w:val="both"/>
        <w:rPr>
          <w:sz w:val="26"/>
          <w:szCs w:val="26"/>
          <w:lang w:val="en-US"/>
        </w:rPr>
      </w:pPr>
      <w:r>
        <w:rPr>
          <w:sz w:val="26"/>
          <w:szCs w:val="26"/>
          <w:lang w:val="en-US"/>
        </w:rPr>
        <w:t xml:space="preserve">3.1.1. Agar texnik nosozlik tufayli Buyurtmachi uskunasi Ijrochining Data-markazidagi jihozlariga xavf tug’dirsa, Ijrochining texnik xodimlari Buyurtmachi uskunasini o’zgaruvchan tok tarmog’idan uzib qo’yish, so’ngra darhol Buyurtmachini voqea to’g’risida xabardor qilish huquqiga ega. </w:t>
      </w:r>
    </w:p>
    <w:p>
      <w:pPr>
        <w:pStyle w:val="Normal"/>
        <w:widowControl/>
        <w:suppressAutoHyphens w:val="true"/>
        <w:ind w:firstLine="567"/>
        <w:jc w:val="both"/>
        <w:rPr/>
      </w:pPr>
      <w:r>
        <w:rPr>
          <w:sz w:val="26"/>
          <w:szCs w:val="26"/>
          <w:lang w:val="en-US"/>
        </w:rPr>
        <w:t>3.1.2. Agar Ijrochining hisob-raqamiga tegishli pul mablag’lari kelib tushmasa, har oyning 10-kuniga qadar Ijrochi xizmat ko’rsatishni to’xtatib turishga haqli.</w:t>
      </w:r>
    </w:p>
    <w:p>
      <w:pPr>
        <w:pStyle w:val="Normal"/>
        <w:widowControl/>
        <w:suppressAutoHyphens w:val="true"/>
        <w:ind w:firstLine="567"/>
        <w:jc w:val="both"/>
        <w:rPr/>
      </w:pPr>
      <w:r>
        <w:rPr>
          <w:sz w:val="26"/>
          <w:szCs w:val="26"/>
          <w:lang w:val="en-US"/>
        </w:rPr>
        <w:t xml:space="preserve">3.1.3. Agar Ijrochining hisob-raqamiga pul mablag’lari uch hisob-kitob oyi davomida tushmasa, Ijrochi shartnomani bir tomonlama bekor qilishga haqli. Bunday holda Uskunalar Buyurtmachiga barcha qarzlar to’langanidan keyingina beriladi. </w:t>
      </w:r>
    </w:p>
    <w:p>
      <w:pPr>
        <w:pStyle w:val="Normal"/>
        <w:widowControl/>
        <w:suppressAutoHyphens w:val="true"/>
        <w:ind w:firstLine="567"/>
        <w:jc w:val="both"/>
        <w:rPr/>
      </w:pPr>
      <w:r>
        <w:rPr>
          <w:sz w:val="26"/>
          <w:szCs w:val="26"/>
          <w:lang w:val="en-US"/>
        </w:rPr>
        <w:t xml:space="preserve">3.1.4. Energiya resurslari va uchinchi tomon provayderlari tomonidan taqdim etilgan Internet xizmatlari uchun tariflar oshgan taqdirda, Ijrochi xizmatlar narxining rejalashtirilgan o’zgarishi to’g’risida Buyurtmachiga bunday o’sishni narxlar oshishi boshlangan sanadan 30 (o’ttiz) kalendar kundan kechiktirmay yozma ravishda asoslagan holda, xizmat narxini bir tomonlama oshirishga haqli.  </w:t>
      </w:r>
    </w:p>
    <w:p>
      <w:pPr>
        <w:pStyle w:val="Normal"/>
        <w:widowControl/>
        <w:suppressAutoHyphens w:val="true"/>
        <w:ind w:firstLine="567"/>
        <w:rPr/>
      </w:pPr>
      <w:r>
        <w:rPr>
          <w:b/>
          <w:sz w:val="26"/>
          <w:szCs w:val="26"/>
          <w:lang w:val="en-US"/>
        </w:rPr>
        <w:t>3.2. Ijrochi quyidagilarga majbur:</w:t>
      </w:r>
    </w:p>
    <w:p>
      <w:pPr>
        <w:pStyle w:val="Normal"/>
        <w:widowControl/>
        <w:suppressAutoHyphens w:val="true"/>
        <w:ind w:firstLine="567"/>
        <w:jc w:val="both"/>
        <w:rPr/>
      </w:pPr>
      <w:r>
        <w:rPr>
          <w:sz w:val="26"/>
          <w:szCs w:val="26"/>
          <w:lang w:val="en-US"/>
        </w:rPr>
        <w:t>3.2.1. Buyurtmachiga ushbu Shartnoma bo’yicha tarmoq uskunalari tariflari va imkoniyatlariga muvofiq, tegishli texnik imkoniyatlar mavjud bo’lgan holda sifatli xizmatlarni taqdim etish.</w:t>
      </w:r>
    </w:p>
    <w:p>
      <w:pPr>
        <w:pStyle w:val="Normal"/>
        <w:widowControl/>
        <w:suppressAutoHyphens w:val="true"/>
        <w:ind w:firstLine="567"/>
        <w:jc w:val="both"/>
        <w:rPr/>
      </w:pPr>
      <w:r>
        <w:rPr>
          <w:sz w:val="26"/>
          <w:szCs w:val="26"/>
          <w:lang w:val="en-US"/>
        </w:rPr>
        <w:t>3.2.2. Tarmoq uskunalarining barqaror ishlashini ta’minlash.</w:t>
      </w:r>
    </w:p>
    <w:p>
      <w:pPr>
        <w:pStyle w:val="Normal"/>
        <w:widowControl/>
        <w:suppressAutoHyphens w:val="true"/>
        <w:ind w:firstLine="567"/>
        <w:jc w:val="both"/>
        <w:rPr>
          <w:sz w:val="26"/>
          <w:szCs w:val="26"/>
          <w:lang w:val="en-US"/>
        </w:rPr>
      </w:pPr>
      <w:r>
        <w:rPr>
          <w:sz w:val="26"/>
          <w:szCs w:val="26"/>
          <w:lang w:val="en-US"/>
        </w:rPr>
        <w:t>3.2.3. Ijrochining hisob-raqamiga ushbu Shartnoma bo’yicha to’lov tushgan paytdan e’tiboran 2 (ikki) ish kuni ichida Uskunalarni topshirish va qabul qilish dalolatnomasi bo’yicha qabul qilish.</w:t>
      </w:r>
    </w:p>
    <w:p>
      <w:pPr>
        <w:pStyle w:val="Normal"/>
        <w:widowControl/>
        <w:suppressAutoHyphens w:val="true"/>
        <w:ind w:firstLine="567"/>
        <w:jc w:val="both"/>
        <w:rPr/>
      </w:pPr>
      <w:r>
        <w:rPr>
          <w:sz w:val="26"/>
          <w:szCs w:val="26"/>
          <w:lang w:val="en-US"/>
        </w:rPr>
        <w:t>3.2.4. Uskunalarni qabul qilish va topshirish sanasidan boshlab 2 (ikki) ish kunidan kechiktirmay xizmatlarni ko’rsatishga o’tish.</w:t>
      </w:r>
    </w:p>
    <w:p>
      <w:pPr>
        <w:pStyle w:val="Normal"/>
        <w:widowControl/>
        <w:suppressAutoHyphens w:val="true"/>
        <w:ind w:firstLine="567"/>
        <w:jc w:val="both"/>
        <w:rPr>
          <w:sz w:val="26"/>
          <w:szCs w:val="26"/>
          <w:lang w:val="en-US"/>
        </w:rPr>
      </w:pPr>
      <w:r>
        <w:rPr>
          <w:sz w:val="26"/>
          <w:szCs w:val="26"/>
          <w:lang w:val="en-US"/>
        </w:rPr>
        <w:t>3.2.5. Buyurtmachidan buyurtma berishda yoki ushbu Shartnomani bajarish jarayonida olingan ma’lumotlarning maxfiyligiga rioya qilish, O’zbekiston Respublikasi qonun hujjatlarida nazarda tutilgan hollar bundan mustasno.</w:t>
      </w:r>
    </w:p>
    <w:p>
      <w:pPr>
        <w:pStyle w:val="Normal"/>
        <w:widowControl/>
        <w:suppressAutoHyphens w:val="true"/>
        <w:ind w:firstLine="567"/>
        <w:jc w:val="both"/>
        <w:rPr/>
      </w:pPr>
      <w:r>
        <w:rPr>
          <w:sz w:val="26"/>
          <w:szCs w:val="26"/>
          <w:lang w:val="en-US"/>
        </w:rPr>
        <w:t xml:space="preserve">3.2.6. Buyurtmachiga tarmoqning ishlashi va qo’shimcha xizmatlar bilan bog’liq masalalar bo’yicha o’z vaqtida, yuqori sifatli texnik yordam ko’rsatish. </w:t>
      </w:r>
    </w:p>
    <w:p>
      <w:pPr>
        <w:pStyle w:val="Normal"/>
        <w:widowControl/>
        <w:suppressAutoHyphens w:val="true"/>
        <w:ind w:firstLine="567"/>
        <w:jc w:val="both"/>
        <w:rPr/>
      </w:pPr>
      <w:r>
        <w:rPr>
          <w:sz w:val="26"/>
          <w:szCs w:val="26"/>
          <w:lang w:val="en-US"/>
        </w:rPr>
        <w:t>3.2.7. Ushbu Shartnoma bo’yicha xizmatlar ko’rsatishda uzilishlar yuzaga kelgan taqdirda, uzilish sabablarini bartaraf etish va xizmatlarni ko’rsatishni qayta tiklash uchun barcha mumkin bo’lgan choralarni ko’rish.</w:t>
      </w:r>
    </w:p>
    <w:p>
      <w:pPr>
        <w:pStyle w:val="Normal"/>
        <w:widowControl/>
        <w:suppressAutoHyphens w:val="true"/>
        <w:ind w:firstLine="567"/>
        <w:jc w:val="both"/>
        <w:rPr/>
      </w:pPr>
      <w:r>
        <w:rPr>
          <w:sz w:val="26"/>
          <w:szCs w:val="26"/>
          <w:lang w:val="en-US"/>
        </w:rPr>
        <w:t>3.2.8. Buyurtmachiga ko’rsatilgan xizmatlarning hisobini yuritish va ushbu Shartnoma bo’yicha to’lov uchun hisob-fakturalarni o’z vaqtida rasmiylashtirish.</w:t>
      </w:r>
    </w:p>
    <w:p>
      <w:pPr>
        <w:pStyle w:val="Normal"/>
        <w:widowControl/>
        <w:suppressAutoHyphens w:val="true"/>
        <w:ind w:firstLine="567"/>
        <w:jc w:val="both"/>
        <w:rPr/>
      </w:pPr>
      <w:r>
        <w:rPr>
          <w:sz w:val="26"/>
          <w:szCs w:val="26"/>
          <w:lang w:val="en-US"/>
        </w:rPr>
        <w:t>3.2.9. Ushbu Shartnoma bo’yicha Buyurtmachidan olingan Uskunalarning xavfsizligini ta’minlash.</w:t>
      </w:r>
    </w:p>
    <w:p>
      <w:pPr>
        <w:pStyle w:val="Normal"/>
        <w:widowControl/>
        <w:suppressAutoHyphens w:val="true"/>
        <w:ind w:firstLine="567"/>
        <w:jc w:val="both"/>
        <w:rPr/>
      </w:pPr>
      <w:r>
        <w:rPr>
          <w:sz w:val="26"/>
          <w:szCs w:val="26"/>
          <w:lang w:val="en-US"/>
        </w:rPr>
        <w:t xml:space="preserve">3.2.10. Ijrochining veb-saytida xizmat ko’rsatish shartlari va tariflardagi o’zgarishlar bilan bog’liq rasmiy xabarlarni e’lon qilish. </w:t>
      </w:r>
    </w:p>
    <w:p>
      <w:pPr>
        <w:pStyle w:val="Normal"/>
        <w:widowControl/>
        <w:suppressAutoHyphens w:val="true"/>
        <w:ind w:firstLine="567"/>
        <w:jc w:val="both"/>
        <w:rPr>
          <w:sz w:val="26"/>
          <w:szCs w:val="26"/>
          <w:lang w:val="en-US"/>
        </w:rPr>
      </w:pPr>
      <w:r>
        <w:rPr>
          <w:sz w:val="26"/>
          <w:szCs w:val="26"/>
          <w:lang w:val="en-US"/>
        </w:rPr>
        <w:t>3.2.11. Ushbu Shartnomaning amal qilish muddati ushbu Shartnomada nazarda tutilgan asoslar bo’yicha tugatilgan taqdirda, Ijrochining talabiga binoan Buyurtmachining uskunasini ushbu Shartnomaning amal qilish muddati tugatilgan kundan boshlab 3 (uch) ish kunidan kechiktirmay qaytarib berish.</w:t>
      </w:r>
    </w:p>
    <w:p>
      <w:pPr>
        <w:pStyle w:val="Normal"/>
        <w:widowControl/>
        <w:suppressAutoHyphens w:val="true"/>
        <w:ind w:firstLine="567"/>
        <w:jc w:val="both"/>
        <w:rPr/>
      </w:pPr>
      <w:r>
        <w:rPr>
          <w:sz w:val="26"/>
          <w:szCs w:val="26"/>
          <w:lang w:val="en-US"/>
        </w:rPr>
        <w:t xml:space="preserve">3.2.12. Ish boshlanishidan kamida 12 soat oldin Ijrochi tarmog’idagi texnik ishlar haqida Buyurtmachini xabardor qilish. </w:t>
      </w:r>
    </w:p>
    <w:p>
      <w:pPr>
        <w:pStyle w:val="Normal"/>
        <w:widowControl/>
        <w:suppressAutoHyphens w:val="true"/>
        <w:ind w:firstLine="567"/>
        <w:rPr>
          <w:b/>
          <w:b/>
          <w:sz w:val="26"/>
          <w:szCs w:val="26"/>
          <w:lang w:val="en-US"/>
        </w:rPr>
      </w:pPr>
      <w:r>
        <w:rPr>
          <w:b/>
          <w:sz w:val="26"/>
          <w:szCs w:val="26"/>
          <w:lang w:val="en-US"/>
        </w:rPr>
        <w:t>3.3 Buyurtmachi quyidagi huquqlarga ega:</w:t>
      </w:r>
    </w:p>
    <w:p>
      <w:pPr>
        <w:pStyle w:val="Normal"/>
        <w:widowControl/>
        <w:suppressAutoHyphens w:val="true"/>
        <w:ind w:firstLine="567"/>
        <w:jc w:val="both"/>
        <w:rPr/>
      </w:pPr>
      <w:r>
        <w:rPr>
          <w:sz w:val="26"/>
          <w:szCs w:val="26"/>
          <w:lang w:val="en-US"/>
        </w:rPr>
        <w:t xml:space="preserve">3.3.1. Agar Uskunada saqlanadigan axborot resurslari bilan ishlash zarurati tug’ilsa, Buyurtmachi Data markazga kirish qoidalariga (ushbu Shartnomaga </w:t>
      </w:r>
      <w:r>
        <w:rPr>
          <w:sz w:val="26"/>
          <w:szCs w:val="26"/>
          <w:lang w:val="uz-Cyrl-UZ"/>
        </w:rPr>
        <w:t>2</w:t>
      </w:r>
      <w:r>
        <w:rPr>
          <w:sz w:val="26"/>
          <w:szCs w:val="26"/>
          <w:lang w:val="en-US"/>
        </w:rPr>
        <w:t>-ilova) muvofiq Data markazga tashrif buyurish huquqiga ega.</w:t>
      </w:r>
    </w:p>
    <w:p>
      <w:pPr>
        <w:pStyle w:val="Normal"/>
        <w:widowControl/>
        <w:suppressAutoHyphens w:val="true"/>
        <w:ind w:firstLine="567"/>
        <w:jc w:val="both"/>
        <w:rPr/>
      </w:pPr>
      <w:r>
        <w:rPr>
          <w:sz w:val="26"/>
          <w:szCs w:val="26"/>
          <w:lang w:val="en-US"/>
        </w:rPr>
        <w:t>3.3.2. Ijrochidan ushbu shartnomada nazarda tutilgan majburiyatlarni o’z vaqtida bajarishni talab qilish.</w:t>
      </w:r>
    </w:p>
    <w:p>
      <w:pPr>
        <w:pStyle w:val="Normal"/>
        <w:widowControl/>
        <w:suppressAutoHyphens w:val="true"/>
        <w:ind w:firstLine="567"/>
        <w:rPr/>
      </w:pPr>
      <w:r>
        <w:rPr>
          <w:b/>
          <w:sz w:val="26"/>
          <w:szCs w:val="26"/>
          <w:lang w:val="en-US"/>
        </w:rPr>
        <w:t>3.4. Buyurtmachi quyidagilarga majbur:</w:t>
      </w:r>
    </w:p>
    <w:p>
      <w:pPr>
        <w:pStyle w:val="Normal"/>
        <w:widowControl/>
        <w:suppressAutoHyphens w:val="true"/>
        <w:ind w:firstLine="567"/>
        <w:jc w:val="both"/>
        <w:rPr/>
      </w:pPr>
      <w:r>
        <w:rPr>
          <w:sz w:val="26"/>
          <w:szCs w:val="26"/>
          <w:lang w:val="en-US"/>
        </w:rPr>
        <w:t>3.4.1. Ushbu Shartnoma bo’yicha Ijrochining xizmatlari uchun o’z vaqtida pul to’lash.</w:t>
      </w:r>
    </w:p>
    <w:p>
      <w:pPr>
        <w:pStyle w:val="Normal"/>
        <w:widowControl/>
        <w:suppressAutoHyphens w:val="true"/>
        <w:ind w:firstLine="567"/>
        <w:jc w:val="both"/>
        <w:rPr/>
      </w:pPr>
      <w:r>
        <w:rPr>
          <w:sz w:val="26"/>
          <w:szCs w:val="26"/>
          <w:lang w:val="en-US"/>
        </w:rPr>
        <w:t>3.4.2. O’zbekiston Respublikasining amaldagi qonunchiligiga muvofiq ushbu Shartnoma shartlarini bajarish.</w:t>
      </w:r>
    </w:p>
    <w:p>
      <w:pPr>
        <w:pStyle w:val="Normal"/>
        <w:widowControl/>
        <w:suppressAutoHyphens w:val="true"/>
        <w:ind w:firstLine="567"/>
        <w:jc w:val="both"/>
        <w:rPr/>
      </w:pPr>
      <w:r>
        <w:rPr>
          <w:sz w:val="26"/>
          <w:szCs w:val="26"/>
          <w:lang w:val="en-US"/>
        </w:rPr>
        <w:t xml:space="preserve">3.4.3. Ijrochining hisob-raqamiga ushbu Shartnoma bo’yicha to’lov qabul qilingan kundan boshlab 2 (ikki) ish kuni ichida mazkur shartnomaning 2.2-bandga muvofiq Uskunalarni qabul qilish va topshirish dalolatnomasi bo’yicha Ijrochiga topshirish. </w:t>
      </w:r>
    </w:p>
    <w:p>
      <w:pPr>
        <w:pStyle w:val="Normal"/>
        <w:widowControl/>
        <w:suppressAutoHyphens w:val="true"/>
        <w:ind w:firstLine="567"/>
        <w:jc w:val="both"/>
        <w:rPr>
          <w:color w:val="000000"/>
          <w:sz w:val="26"/>
          <w:szCs w:val="26"/>
          <w:lang w:val="en-US"/>
        </w:rPr>
      </w:pPr>
      <w:r>
        <w:rPr>
          <w:color w:val="000000"/>
          <w:sz w:val="26"/>
          <w:szCs w:val="26"/>
          <w:lang w:val="en-US"/>
        </w:rPr>
        <w:t xml:space="preserve">3.4.4. Texnik nosozliklar yuzaga kelgan taqdirda, Ijrochining navbatchi muhandisiga zudlik bilan telefon orqali xabar berish </w:t>
      </w:r>
      <w:hyperlink r:id="rId2">
        <w:r>
          <w:rPr>
            <w:rStyle w:val="InternetLink"/>
            <w:color w:val="000000"/>
            <w:sz w:val="26"/>
            <w:szCs w:val="26"/>
            <w:lang w:val="en-US"/>
          </w:rPr>
          <w:t>+998712080712</w:t>
        </w:r>
      </w:hyperlink>
      <w:r>
        <w:rPr>
          <w:color w:val="000000"/>
          <w:sz w:val="26"/>
          <w:szCs w:val="26"/>
          <w:lang w:val="en-US"/>
        </w:rPr>
        <w:t xml:space="preserve"> va support@unicon.uz elektron pochta manziliga xabarnoma yuborish.</w:t>
      </w:r>
    </w:p>
    <w:p>
      <w:pPr>
        <w:pStyle w:val="Normal"/>
        <w:widowControl/>
        <w:suppressAutoHyphens w:val="true"/>
        <w:ind w:firstLine="567"/>
        <w:jc w:val="both"/>
        <w:rPr/>
      </w:pPr>
      <w:r>
        <w:rPr>
          <w:color w:val="000000"/>
          <w:sz w:val="26"/>
          <w:szCs w:val="26"/>
          <w:lang w:val="en-US"/>
        </w:rPr>
        <w:t>3.4.5. Uskunada O’zbekiston Respublikasining amaldagi qonunchiligi bilan taqiqlanmagan ma’lumotlarni joylashtirish.</w:t>
      </w:r>
    </w:p>
    <w:p>
      <w:pPr>
        <w:pStyle w:val="Normal"/>
        <w:widowControl/>
        <w:suppressAutoHyphens w:val="true"/>
        <w:ind w:firstLine="567"/>
        <w:jc w:val="both"/>
        <w:rPr/>
      </w:pPr>
      <w:r>
        <w:rPr>
          <w:color w:val="000000"/>
          <w:sz w:val="26"/>
          <w:szCs w:val="26"/>
          <w:lang w:val="en-US"/>
        </w:rPr>
        <w:t>3.4.6. Data markazga kirish qoidalariga to’liq va so’zsiz rioya qilish (ushbu</w:t>
      </w:r>
      <w:r>
        <w:rPr>
          <w:sz w:val="26"/>
          <w:szCs w:val="26"/>
          <w:lang w:val="en-US"/>
        </w:rPr>
        <w:t xml:space="preserve"> Shartnomaga </w:t>
      </w:r>
      <w:r>
        <w:rPr>
          <w:sz w:val="26"/>
          <w:szCs w:val="26"/>
          <w:lang w:val="uz-Cyrl-UZ"/>
        </w:rPr>
        <w:t>2</w:t>
      </w:r>
      <w:r>
        <w:rPr>
          <w:sz w:val="26"/>
          <w:szCs w:val="26"/>
          <w:lang w:val="en-US"/>
        </w:rPr>
        <w:t>-son ilova).</w:t>
      </w:r>
    </w:p>
    <w:p>
      <w:pPr>
        <w:pStyle w:val="Normal"/>
        <w:widowControl/>
        <w:suppressAutoHyphens w:val="true"/>
        <w:ind w:firstLine="567"/>
        <w:jc w:val="both"/>
        <w:rPr/>
      </w:pPr>
      <w:r>
        <w:rPr>
          <w:sz w:val="26"/>
          <w:szCs w:val="26"/>
          <w:lang w:val="en-US"/>
        </w:rPr>
        <w:t>3.4.7. Ijrochining xizmatlaridan faqat O’zbekiston Respublikasi qonunchiligiga muvofiq foydalanish va Buyurtmachining Ijrochining xizmatlaridan foydalanishi jarayonida Buyurtmachi yoki uchinchi shaxs tomonidan yuklangan javobgarlikni Ijrochiga o’tkazmaslik.</w:t>
      </w:r>
    </w:p>
    <w:p>
      <w:pPr>
        <w:pStyle w:val="Normal"/>
        <w:widowControl/>
        <w:suppressAutoHyphens w:val="true"/>
        <w:ind w:firstLine="567"/>
        <w:jc w:val="both"/>
        <w:rPr/>
      </w:pPr>
      <w:r>
        <w:rPr>
          <w:sz w:val="26"/>
          <w:szCs w:val="26"/>
          <w:lang w:val="en-US"/>
        </w:rPr>
        <w:t>3.4.8. Ushbu Shartnomaning amal qilish muddati ushbu Shartnomada nazarda tutilgan asoslar bo’yicha tugatilgan taqdirda, Buyurtmachi Ijrochining iltimosiga binoan, ushbu Shartnoma bekor qilingan kundan boshlab 3 (uch) ish kunidan kechiktirmay o’z uskunasini olishi shart. Ushbu talab buzilgan taqdirda, Ijrochi Buyurtmachidan Ijrochi Uskunalarni saqlaganlikning har bir kuni uchun O’zbekiston Respublikasida belgilangan BHMning 2 foizi (ikki foiz) miqdorida penya undirish huquqiga ega.</w:t>
      </w:r>
    </w:p>
    <w:p>
      <w:pPr>
        <w:pStyle w:val="Normal"/>
        <w:widowControl/>
        <w:suppressAutoHyphens w:val="true"/>
        <w:ind w:firstLine="567"/>
        <w:jc w:val="both"/>
        <w:rPr>
          <w:sz w:val="26"/>
          <w:szCs w:val="26"/>
          <w:lang w:val="en-US"/>
        </w:rPr>
      </w:pPr>
      <w:r>
        <w:rPr>
          <w:sz w:val="26"/>
          <w:szCs w:val="26"/>
          <w:lang w:val="en-US"/>
        </w:rPr>
        <w:t>Uskunalarni qaytarish ikki tomonlama imzolangan Uskunalarni qaytarish to’g’risidagi dalolatnoma asosida amalga oshiriladi. Uskunalarni qaytarish to’g’risidagi dalolatnoma Shartnomani bekor qilish to’g’risidagi xat asosida beriladi.</w:t>
      </w:r>
    </w:p>
    <w:p>
      <w:pPr>
        <w:pStyle w:val="Normal"/>
        <w:widowControl/>
        <w:suppressAutoHyphens w:val="true"/>
        <w:ind w:firstLine="567"/>
        <w:jc w:val="both"/>
        <w:rPr>
          <w:sz w:val="26"/>
          <w:szCs w:val="26"/>
          <w:lang w:val="en-US"/>
        </w:rPr>
      </w:pPr>
      <w:r>
        <w:rPr>
          <w:sz w:val="26"/>
          <w:szCs w:val="26"/>
          <w:lang w:val="en-US"/>
        </w:rPr>
        <w:t xml:space="preserve">3.4.9. Ijrochi ustidan uchinchi shaxslar, shu jumladan O’zbekiston Respublikasi davlat hokimiyati va boshqaruvi organlari, ularning subyektlari va mahalliy davlat hokimiyati organlari, har qanday jamoat tashkilotlari tomonidan yuqoridagilarning shaxsiy huquqlari (shu jumladan mualliflik huquqlari)ga zid ish ko’rilgan, shuningdek, ushbu shartnomada nazarda tutilgan xizmatlardan foydalanish natijasida axloq yoki jamoat tartibi normalariga rioya qilinmagan, shu jumladan, Ijrochining mazmuni uchinchi shaxslarning yuqoridagi harakatlariga olib kelishi mumkin bo’lgan ma’lumotlarni uzatish va/yoki qabul qilishi bilan bog’liq har qanday talablar, shikoyatlar, da’volar kelib tushgan taqdirda to’liq javobgarlikni o’z zimmasiga olish.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pPr>
      <w:r>
        <w:rPr>
          <w:b/>
          <w:sz w:val="26"/>
          <w:szCs w:val="26"/>
          <w:lang w:val="en-US"/>
        </w:rPr>
        <w:t>4. Shartnomani o’zgartirish va bekor qilish tartibi</w:t>
      </w:r>
    </w:p>
    <w:p>
      <w:pPr>
        <w:pStyle w:val="Normal"/>
        <w:widowControl/>
        <w:suppressAutoHyphens w:val="true"/>
        <w:ind w:firstLine="567"/>
        <w:jc w:val="both"/>
        <w:rPr/>
      </w:pPr>
      <w:r>
        <w:rPr>
          <w:sz w:val="26"/>
          <w:szCs w:val="26"/>
          <w:lang w:val="en-US"/>
        </w:rPr>
        <w:t>4.1. Ushbu Shartnoma tuziladigan shartlar O’zbekiston Respublikasi qonun hujjatlariga muvofiq Tomonlar kelishuvi bilan o’zgartirilishi mumkin.</w:t>
      </w:r>
    </w:p>
    <w:p>
      <w:pPr>
        <w:pStyle w:val="Normal"/>
        <w:widowControl/>
        <w:suppressAutoHyphens w:val="true"/>
        <w:ind w:firstLine="567"/>
        <w:jc w:val="both"/>
        <w:rPr/>
      </w:pPr>
      <w:r>
        <w:rPr>
          <w:sz w:val="26"/>
          <w:szCs w:val="26"/>
          <w:lang w:val="en-US"/>
        </w:rPr>
        <w:t>4.2. Ushbu Shartnoma shartlarini bir tomonlama o’zgartirishga yo’l qo’yilmaydi.</w:t>
      </w:r>
    </w:p>
    <w:p>
      <w:pPr>
        <w:pStyle w:val="Normal"/>
        <w:widowControl/>
        <w:suppressAutoHyphens w:val="true"/>
        <w:ind w:firstLine="567"/>
        <w:jc w:val="both"/>
        <w:rPr/>
      </w:pPr>
      <w:r>
        <w:rPr>
          <w:sz w:val="26"/>
          <w:szCs w:val="26"/>
          <w:lang w:val="en-US"/>
        </w:rPr>
        <w:t>4.3. Ushbu Shartnoma Tomonlar kelishuvi bilan o’zgartirilishi yoki bekor qilinishi mumkin, bu qo`shimcha shartnoma bilan rasmiylashtiriladi va faqat yozma shaklda tuzilgan va Tomonlar o’zaro imzolangan taqdirdagina amal qiladi.</w:t>
      </w:r>
    </w:p>
    <w:p>
      <w:pPr>
        <w:pStyle w:val="Normal"/>
        <w:widowControl/>
        <w:suppressAutoHyphens w:val="true"/>
        <w:ind w:firstLine="567"/>
        <w:jc w:val="both"/>
        <w:rPr>
          <w:sz w:val="26"/>
          <w:szCs w:val="26"/>
          <w:lang w:val="en-US"/>
        </w:rPr>
      </w:pPr>
      <w:r>
        <w:rPr>
          <w:sz w:val="26"/>
          <w:szCs w:val="26"/>
          <w:lang w:val="en-US"/>
        </w:rPr>
        <w:t>4.4. Tomonlardan birining iltimosiga binoan shartnoma ushbu shartnomaning 3.1.3-bandiga muvofiq yoki sud qarori bilan faqat shartnomani boshqa taraf jiddiy buzgan taqdirda o’zgartirilishi yoki bekor qilinishi mumkin.</w:t>
      </w:r>
    </w:p>
    <w:p>
      <w:pPr>
        <w:pStyle w:val="Normal"/>
        <w:widowControl/>
        <w:suppressAutoHyphens w:val="true"/>
        <w:ind w:firstLine="567"/>
        <w:jc w:val="both"/>
        <w:rPr/>
      </w:pPr>
      <w:r>
        <w:rPr>
          <w:sz w:val="26"/>
          <w:szCs w:val="26"/>
          <w:lang w:val="en-US"/>
        </w:rPr>
        <w:t>4.5. Ushbu Shartnomani o’zgartirish yoki bekor qilish to’g’risidagi talab boshqa tomonning Shartnomani o’zgartirish yoki bekor qilish to’g’risidagi taklifiga rad javobini olgandan keyingina sudga berilishi mumkin.</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pPr>
      <w:r>
        <w:rPr>
          <w:b/>
          <w:sz w:val="26"/>
          <w:szCs w:val="26"/>
          <w:lang w:val="en-US"/>
        </w:rPr>
        <w:t>5. Tomonlarning majburiyatlari</w:t>
      </w:r>
    </w:p>
    <w:p>
      <w:pPr>
        <w:pStyle w:val="Normal"/>
        <w:widowControl/>
        <w:suppressAutoHyphens w:val="true"/>
        <w:ind w:firstLine="567"/>
        <w:jc w:val="both"/>
        <w:rPr/>
      </w:pPr>
      <w:r>
        <w:rPr>
          <w:sz w:val="26"/>
          <w:szCs w:val="26"/>
          <w:lang w:val="en-US"/>
        </w:rPr>
        <w:t xml:space="preserve">5.1. Ushbu Shartnoma bo’yicha o’z majburiyatlarini bajarmaganliklari yoki lozim darajada bajarmaganliklari uchun Tomonlar O’zbekiston Respublikasi qonunchiligiga muvofiq javobgar bo’ladilar. </w:t>
      </w:r>
    </w:p>
    <w:p>
      <w:pPr>
        <w:pStyle w:val="Normal"/>
        <w:widowControl/>
        <w:suppressAutoHyphens w:val="true"/>
        <w:ind w:firstLine="567"/>
        <w:jc w:val="both"/>
        <w:rPr>
          <w:sz w:val="26"/>
          <w:szCs w:val="26"/>
          <w:lang w:val="en-US"/>
        </w:rPr>
      </w:pPr>
      <w:r>
        <w:rPr>
          <w:sz w:val="26"/>
          <w:szCs w:val="26"/>
          <w:lang w:val="en-US"/>
        </w:rPr>
        <w:t xml:space="preserve">5.2. Ushbu Shartnomaning 2.2-bandida nazarda tutilgan shartlarni buzganlik uchun Buyurtmachi Ijrochiga kechiktirilgan har bir kun uchun to’lov uchun hisob-faktura berilgan kundan boshlab 10 (o’n) kalendar kunidan keyin, lekin muddati o’tgan to’lov summasining 50 foizidan ko’p bo’lmagan miqdorda muddati o’tkazib yuborilgan to’lov summasining 0,4% miqdorida penya to’laydi. </w:t>
      </w:r>
    </w:p>
    <w:p>
      <w:pPr>
        <w:pStyle w:val="Normal"/>
        <w:widowControl/>
        <w:suppressAutoHyphens w:val="true"/>
        <w:ind w:firstLine="567"/>
        <w:jc w:val="both"/>
        <w:rPr/>
      </w:pPr>
      <w:r>
        <w:rPr>
          <w:sz w:val="26"/>
          <w:szCs w:val="26"/>
          <w:lang w:val="en-US"/>
        </w:rPr>
        <w:t xml:space="preserve">5.3. Ijrochining aybi bilan sodir bo’lgan xizmatlarni bajarmaganlik yoki ko’rsatmaganlik uchun Buyurtmachiga kechiktirilgan har bir kun uchun 0,4% miqdorida, lekin ko’rsatilmagan xizmatlar miqdorining 50% dan ko’p bo’lmagan miqdorda penya to’lanadi. </w:t>
      </w:r>
    </w:p>
    <w:p>
      <w:pPr>
        <w:pStyle w:val="Normal"/>
        <w:widowControl/>
        <w:suppressAutoHyphens w:val="true"/>
        <w:ind w:firstLine="567"/>
        <w:jc w:val="both"/>
        <w:rPr/>
      </w:pPr>
      <w:r>
        <w:rPr>
          <w:sz w:val="26"/>
          <w:szCs w:val="26"/>
          <w:lang w:val="en-US"/>
        </w:rPr>
        <w:t>5.4. Ijrochi o’ziga berilgan Uskunalarning saqlanishi uchun qonun hujjatlariga muvofiq javobgar hisoblanadi.</w:t>
      </w:r>
    </w:p>
    <w:p>
      <w:pPr>
        <w:pStyle w:val="Normal"/>
        <w:widowControl/>
        <w:suppressAutoHyphens w:val="true"/>
        <w:ind w:firstLine="567"/>
        <w:jc w:val="both"/>
        <w:rPr>
          <w:sz w:val="26"/>
          <w:szCs w:val="26"/>
          <w:lang w:val="en-US"/>
        </w:rPr>
      </w:pPr>
      <w:r>
        <w:rPr>
          <w:sz w:val="26"/>
          <w:szCs w:val="26"/>
          <w:lang w:val="en-US"/>
        </w:rPr>
        <w:t>5.5. Ijrochi xizmatlar ko’rsatish uchun zarur bo’lgan uchinchi shaxslar tomonidan tashkil etilgan xizmatlar sifati uchun javobgar hisoblanmaydi.</w:t>
      </w:r>
    </w:p>
    <w:p>
      <w:pPr>
        <w:pStyle w:val="Normal"/>
        <w:widowControl/>
        <w:suppressAutoHyphens w:val="true"/>
        <w:ind w:firstLine="567"/>
        <w:jc w:val="both"/>
        <w:rPr/>
      </w:pPr>
      <w:r>
        <w:rPr>
          <w:sz w:val="26"/>
          <w:szCs w:val="26"/>
          <w:lang w:val="en-US"/>
        </w:rPr>
        <w:t xml:space="preserve">5.6. Ijrochi Buyurtmachi uskunasining axborot tarkibiga kirish huquqiga ega emas va ushbu Shartnomaga muvofiq Ijrochining Data-markazida joylashgan Buyurtmachining uskunasida joylashtirilgan Buyurtmachi ma’lumotlarining to’g’riligi va qonuniyligi uchun javobgar hisoblanmaydi. </w:t>
      </w:r>
    </w:p>
    <w:p>
      <w:pPr>
        <w:pStyle w:val="Normal"/>
        <w:widowControl/>
        <w:suppressAutoHyphens w:val="true"/>
        <w:ind w:firstLine="567"/>
        <w:jc w:val="both"/>
        <w:rPr>
          <w:sz w:val="26"/>
          <w:szCs w:val="26"/>
          <w:lang w:val="en-US"/>
        </w:rPr>
      </w:pPr>
      <w:r>
        <w:rPr>
          <w:sz w:val="26"/>
          <w:szCs w:val="26"/>
          <w:lang w:val="en-US"/>
        </w:rPr>
        <w:t xml:space="preserve">5.7. Tomonlar o’z majburiyatlarini bajarmagan yoki lozim darajada bajarmagan taqdirda, ushbu Shartnoma, shuningdek 1998-yil 29 avgustdagi 670-I-son “Xo’jalik yurituvchi subyektlar faoliyatining shartnomaviy-huquqiy asoslari to’g’risida”gi O’zbekiston Respublikasi Qonuni talablari va O’zbekiston Respublikasining boshqa amaldagi qonun hujjatlariga muvofiq javobgar bo’ladilar. </w:t>
      </w:r>
    </w:p>
    <w:p>
      <w:pPr>
        <w:pStyle w:val="Normal"/>
        <w:widowControl/>
        <w:suppressAutoHyphens w:val="true"/>
        <w:ind w:firstLine="567"/>
        <w:jc w:val="both"/>
        <w:rPr/>
      </w:pPr>
      <w:r>
        <w:rPr>
          <w:sz w:val="26"/>
          <w:szCs w:val="26"/>
          <w:lang w:val="en-US"/>
        </w:rPr>
        <w:t xml:space="preserve">5.8. Ushbu Shartnomada nazarda tutilmagan boshqa barcha hollarda Tomonlar Shartnoma bo’yicha o’z majburiyatlarini buzganliklari uchun O’zbekiston Respublikasining amaldagi fuqarolik qonunchiligiga muvofiq javobgar bo’ladilar.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 xml:space="preserve">6. Korrupsiyaga qarshi kurash qoidalari hamda </w:t>
        <w:br/>
        <w:t>shartnomani bekor qilish va nizolarni ko’rib chiqish</w:t>
      </w:r>
    </w:p>
    <w:p>
      <w:pPr>
        <w:pStyle w:val="Normal"/>
        <w:widowControl/>
        <w:suppressAutoHyphens w:val="true"/>
        <w:ind w:firstLine="567"/>
        <w:jc w:val="both"/>
        <w:rPr/>
      </w:pPr>
      <w:r>
        <w:rPr>
          <w:sz w:val="26"/>
          <w:szCs w:val="26"/>
          <w:lang w:val="en-US"/>
        </w:rPr>
        <w:t>6.1. Ushbu Shartnoma bo’yicha o’z majburiyatlarini bajarish doirasida taraflar amaldagi Qonunchilik, shu jumladan, korrupsiyaga qarshi kurashish talablariga rioya etilishini ta’minlaydilar. Bunda ular va ularning xodimlari, filiallari, benefisiarlari va ushbu shartnomani bajarishda ishtirok etadigan agentlar biznes sheriklari, vositachilar, pudratchilar pora berish yoki olish, tijorat pora olish sifatidagi harakatlarni (harakatsizligi) amalga oshirmasliklarini ta’minlash, pora berishda vositachilik, davlat organi, davlat ishtirokidagi tashkilot yoki fuqarolarning o’zini o’zi boshqarish organi xodimining yoki boshqa shaxslarning pora olish va ushbu shartnoma va korrupsiyaga qarshi kurashish va jinoyatchilikdan olingan daromadlarni legallashtirish (yuvish) va terrorizmni moliyalashtirishga qarshi qo’llaniladigan qonun hujjatlarida nazarda tutilgan boshqa huquqbuzarliklarga yo’l qo’ymaslikni kafolatlaydi.</w:t>
      </w:r>
    </w:p>
    <w:p>
      <w:pPr>
        <w:pStyle w:val="Normal"/>
        <w:widowControl/>
        <w:suppressAutoHyphens w:val="true"/>
        <w:ind w:firstLine="567"/>
        <w:jc w:val="both"/>
        <w:rPr/>
      </w:pPr>
      <w:r>
        <w:rPr>
          <w:sz w:val="26"/>
          <w:szCs w:val="26"/>
          <w:lang w:val="en-US"/>
        </w:rPr>
        <w:t>6.2. Taraflar bevosita yoki bilvosita, shahsan yoki uchinchi shaxslar orqali takliflar, va’dalar, berish, tovlamachilik, so’rovlar, pul va boshqa qimmatbaho buyumlar, mulk, mulk huquqi va boshqa moddiy yoki moddiy bo’lmagan foydalarni olish va olishga rozilik berish hamda asossiz ustunlikka erishish yoki boshqa noqonuniy maqsadlarga erishish, shu jumladan tomonlar o’rtasidagi munosabatlarning shaffofligi va oshkoraligi tamoyillariga mos kelmaydigan maqsadlarga erishish hamda har qanday shaxslardan ularga ta’sir o’tkazishdan bosh tortadilar. Taraflar qayd etilgan harakatlarning oldini olish choralarini ko’rishni kafolatlaydilar.</w:t>
      </w:r>
    </w:p>
    <w:p>
      <w:pPr>
        <w:pStyle w:val="Normal"/>
        <w:widowControl/>
        <w:suppressAutoHyphens w:val="true"/>
        <w:ind w:firstLine="567"/>
        <w:jc w:val="both"/>
        <w:rPr/>
      </w:pPr>
      <w:r>
        <w:rPr>
          <w:sz w:val="26"/>
          <w:szCs w:val="26"/>
          <w:lang w:val="en-US"/>
        </w:rPr>
        <w:t>6.3. Mazkur shartnomaning korrupsiyaga qarshi kurashish qoidalarini bajarish doirasida, ushbu shartnomani taraflar qonun buzilishida gumonlarning paydo bo’lishi yoki taraflar, ularning xodimlari, affillangan shaxslari, benefisiarlari va ular tomonidan jalb qilingan shaxslar tomonidan buzilish ehtimoli borligi to’g’risida bir-birlarini yozma ravishda (shu jumladan korporativ elektron pochtadan foydalangan holda) ochiq va darhol xabardor qilishni o’z zimmalariga oladilar.</w:t>
      </w:r>
    </w:p>
    <w:p>
      <w:pPr>
        <w:pStyle w:val="Normal"/>
        <w:widowControl/>
        <w:suppressAutoHyphens w:val="true"/>
        <w:ind w:firstLine="567"/>
        <w:jc w:val="both"/>
        <w:rPr/>
      </w:pPr>
      <w:r>
        <w:rPr>
          <w:sz w:val="26"/>
          <w:szCs w:val="26"/>
          <w:lang w:val="en-US"/>
        </w:rPr>
        <w:t>Shuningdek, agar taraflardan biri amaldagi qonun yoki ushbu shartnomaning xar qanday korrupsiyaga qarshi kurashish qoidalarini boshqa taraf, uning xodimlari, affillangan shaxslari, benefisiarlari yoki ular tomonidan jalb qilingan shaxslar tomonidan buzilganligi to’g’risida asosli shubha tug’dirsa, ushbu shartnomani amalga oshirish doirasida ushbu taraf unga so’rov olingan kundan boshlab 10 (o’n) ish kuni ichida sharhlar va buzilish faktini rad qiluvchi yoki tasdiqlovchi ma’lumotlar, hujjatlar taqdim etish talabi bilan yozma ravishda so’rov yuborishga haqlidir.</w:t>
      </w:r>
    </w:p>
    <w:p>
      <w:pPr>
        <w:pStyle w:val="Normal"/>
        <w:widowControl/>
        <w:suppressAutoHyphens w:val="true"/>
        <w:ind w:firstLine="567"/>
        <w:jc w:val="both"/>
        <w:rPr/>
      </w:pPr>
      <w:r>
        <w:rPr>
          <w:sz w:val="26"/>
          <w:szCs w:val="26"/>
          <w:lang w:val="en-US"/>
        </w:rPr>
        <w:t>6.4. Mazkur bobda ko’rsatilgan asoslar bo’yicha ushbu shartnomani bir tomonlama bekor qilishni talab qilgan taraf keyingi tarafga yetkazilgan zararni qoplashi qonunchilikda ko’rsatilgan tartibda amalga oshiriladi, shu bilan birga ushbu bobning majburiyatlarini buzgan taraf ushbu shartnomani bir tomonlama bekor qilish tufayli zararni qoplashni talab qilishga haqli emas.</w:t>
      </w:r>
    </w:p>
    <w:p>
      <w:pPr>
        <w:pStyle w:val="Normal"/>
        <w:widowControl/>
        <w:suppressAutoHyphens w:val="true"/>
        <w:ind w:firstLine="567"/>
        <w:jc w:val="both"/>
        <w:rPr/>
      </w:pPr>
      <w:r>
        <w:rPr>
          <w:sz w:val="26"/>
          <w:szCs w:val="26"/>
          <w:lang w:val="en-US"/>
        </w:rPr>
        <w:t>6.5. Ushbu shartnoma shartlarini o’zgartirish, tugatish va bekor qilish O’zbekiston Respublikasi fuqarolik kodeksi asosida amalga oshiriladi.</w:t>
      </w:r>
    </w:p>
    <w:p>
      <w:pPr>
        <w:pStyle w:val="Normal"/>
        <w:widowControl/>
        <w:suppressAutoHyphens w:val="true"/>
        <w:ind w:firstLine="567"/>
        <w:jc w:val="both"/>
        <w:rPr/>
      </w:pPr>
      <w:r>
        <w:rPr>
          <w:sz w:val="26"/>
          <w:szCs w:val="26"/>
          <w:lang w:val="en-US"/>
        </w:rPr>
        <w:t>6.6. Shartnoma bo’yicha nizolar taraflar o’rtasida muzokaralar olib borish yo’li bilan hal etiladi, kelishuvga erishishning imkoni bo’lmagan taqdirda nizo Toshkent tumanlararo iqtisodiy sudida ko’rib chiqiladi.</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7. Fors-major</w:t>
      </w:r>
    </w:p>
    <w:p>
      <w:pPr>
        <w:pStyle w:val="Normal"/>
        <w:widowControl/>
        <w:suppressAutoHyphens w:val="true"/>
        <w:ind w:firstLine="567"/>
        <w:jc w:val="both"/>
        <w:rPr>
          <w:sz w:val="26"/>
          <w:szCs w:val="26"/>
          <w:lang w:val="en-US"/>
        </w:rPr>
      </w:pPr>
      <w:r>
        <w:rPr>
          <w:sz w:val="26"/>
          <w:szCs w:val="26"/>
          <w:lang w:val="en-US"/>
        </w:rPr>
        <w:t>7.1. Tomonlar fors-major holatlari, ya’ni yong’in, suv toshqini, zilzila, qonunchilikning o’zgarishi tufayli Shartnoma bo’yicha majburiyatlarni qisman yoki to’liq bajarmaganlik uchun javobgarlikdan ozod qilinadi, bu vaziyatda hech bir tomon boshqasidan mumkin bo’lgan zararni qoplashni talab qila olmaydi.</w:t>
      </w:r>
    </w:p>
    <w:p>
      <w:pPr>
        <w:pStyle w:val="Normal"/>
        <w:widowControl/>
        <w:suppressAutoHyphens w:val="true"/>
        <w:ind w:firstLine="567"/>
        <w:jc w:val="both"/>
        <w:rPr>
          <w:sz w:val="26"/>
          <w:szCs w:val="26"/>
          <w:lang w:val="en-US"/>
        </w:rPr>
      </w:pPr>
      <w:r>
        <w:rPr>
          <w:sz w:val="26"/>
          <w:szCs w:val="26"/>
          <w:lang w:val="en-US"/>
        </w:rPr>
        <w:t>7.2. Ushbu Shartnoma bo’yicha o’z majburiyatlarini bajara olmaydigan tomon boshqa tomonni fors-major holatlari yuzaga kelganligi to’g’risida darhol xabardor qilishi shart, lekin har qanday holatda ham bu fors-major boshlangan kundan boshlab 10 (o’n) ish kunidan kechiktirmasligi kerak. Vakolatli organ tomonidan berilgan ushbu holatlarni tasdiqlovchi hujjat fors-major holatlari yuzaga kelganligini tegishli ravishda tasdiqlaydi.</w:t>
      </w:r>
    </w:p>
    <w:p>
      <w:pPr>
        <w:pStyle w:val="Normal"/>
        <w:widowControl/>
        <w:suppressAutoHyphens w:val="true"/>
        <w:ind w:firstLine="567"/>
        <w:jc w:val="both"/>
        <w:rPr>
          <w:sz w:val="26"/>
          <w:szCs w:val="26"/>
          <w:lang w:val="en-US"/>
        </w:rPr>
      </w:pPr>
      <w:r>
        <w:rPr>
          <w:sz w:val="26"/>
          <w:szCs w:val="26"/>
          <w:lang w:val="en-US"/>
        </w:rPr>
        <w:t>7.3. Agar bu holatlar uch oydan ortiq davom etsa, har qanday tomonlardan biri shartnomani bekor qilishi mumkin. Bunday holda, Shartnoma bajarilmagan qismida bekor qilinadi va tomonlar shartnomaning bajarilgan qismi bo’yicha yakuniy hisob-kitoblarni amalga oshiradilar.</w:t>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8. Maxfiylik</w:t>
      </w:r>
    </w:p>
    <w:p>
      <w:pPr>
        <w:pStyle w:val="Normal"/>
        <w:widowControl/>
        <w:suppressAutoHyphens w:val="true"/>
        <w:ind w:firstLine="567"/>
        <w:jc w:val="both"/>
        <w:rPr/>
      </w:pPr>
      <w:r>
        <w:rPr>
          <w:sz w:val="26"/>
          <w:szCs w:val="26"/>
          <w:lang w:val="en-US"/>
        </w:rPr>
        <w:t>8.1. Oshkor qiluvchi tomon – maxfiy ma’lumotlarni uchinchi tomonga oshkor qiluvchi tomon.</w:t>
      </w:r>
    </w:p>
    <w:p>
      <w:pPr>
        <w:pStyle w:val="Normal"/>
        <w:widowControl/>
        <w:suppressAutoHyphens w:val="true"/>
        <w:ind w:firstLine="567"/>
        <w:jc w:val="both"/>
        <w:rPr>
          <w:sz w:val="26"/>
          <w:szCs w:val="26"/>
          <w:lang w:val="en-US"/>
        </w:rPr>
      </w:pPr>
      <w:r>
        <w:rPr>
          <w:sz w:val="26"/>
          <w:szCs w:val="26"/>
          <w:lang w:val="en-US"/>
        </w:rPr>
        <w:t>8.2. Qabul qiluvchi tomon – maxfiy ma’lumotlarni qo’lga kirituvchi uchinchi tomon.</w:t>
      </w:r>
    </w:p>
    <w:p>
      <w:pPr>
        <w:pStyle w:val="Normal"/>
        <w:widowControl/>
        <w:suppressAutoHyphens w:val="true"/>
        <w:ind w:firstLine="567"/>
        <w:jc w:val="both"/>
        <w:rPr>
          <w:sz w:val="26"/>
          <w:szCs w:val="26"/>
          <w:lang w:val="en-US"/>
        </w:rPr>
      </w:pPr>
      <w:r>
        <w:rPr>
          <w:sz w:val="26"/>
          <w:szCs w:val="26"/>
          <w:lang w:val="en-US"/>
        </w:rPr>
        <w:t xml:space="preserve">8.3. Tomonlar ushbu Shartnoma shartlari va Shartnomani tuzish, bajarish va bekor qilish jarayonida almashilgan har qanday ma’lumotlar maxfiy ma’lumotlar ekanligiga rozi bo’ladilar. Ushbu Shartnoma amal qilish muddati davomida va u bekor qilingandan keyin 5 (besh) yil mobaynida (agar O’zbekiston Respublikasi qonunchiligida uzoqroq muddat nazarda tutilgan bo’lmasa) haqiqiy hisoblanadi. </w:t>
      </w:r>
    </w:p>
    <w:p>
      <w:pPr>
        <w:pStyle w:val="Normal"/>
        <w:widowControl/>
        <w:suppressAutoHyphens w:val="true"/>
        <w:ind w:firstLine="567"/>
        <w:jc w:val="both"/>
        <w:rPr/>
      </w:pPr>
      <w:r>
        <w:rPr>
          <w:sz w:val="26"/>
          <w:szCs w:val="26"/>
          <w:lang w:val="en-US"/>
        </w:rPr>
        <w:t>Qabul qiluvchi tomon Oshkor qiluvchi tomonning oldindan majburiy yozma roziligisiz ishlarni tugatish, bajarish va tugatish vaqtida Oshkor qiluvchi Tomondan olingan har qanday maxfiy ma’lumotlarni oshkor qilmaslik majburiyatini oladi. Har qanday maxfiy ma’lumotlar uchinchi shaxsga bunday rozilik bilan oshkor qilinganda, bunday maxfiy ma’lumotlarni uchinchi shaxsga oshkor qilgan qabul qiluvchi uchinchi tomon ushbu bo’limda ko’rsatilgan shartlarga o’xshash shartlar asosida bunday ma’lumotlarning maxfiyligini saqlash majburiyatini olganligini ta’minlashi kerak.</w:t>
      </w:r>
    </w:p>
    <w:p>
      <w:pPr>
        <w:pStyle w:val="Normal"/>
        <w:widowControl/>
        <w:suppressAutoHyphens w:val="true"/>
        <w:ind w:firstLine="567"/>
        <w:jc w:val="both"/>
        <w:rPr>
          <w:sz w:val="26"/>
          <w:szCs w:val="26"/>
          <w:lang w:val="en-US"/>
        </w:rPr>
      </w:pPr>
      <w:r>
        <w:rPr>
          <w:sz w:val="26"/>
          <w:szCs w:val="26"/>
          <w:lang w:val="en-US"/>
        </w:rPr>
        <w:t xml:space="preserve">8.4. Har qanday maxfiy ma’lumotlarni olgan Qabul qiluvchi Tomon, agar Oshkor qiluvchi tomondan bunday ma’lumotlarning maxfiyligi to’g’risida yozma yoki og’zaki xabar olingan bo’lsa, uni oshkor qilishi mumkin emas va bunday ma’lumotlarni bir xil darajada muhim ahamiyatga ega bo’lgan ma’lumotlariga nisbatan ehtiyotkorlik bilan qayta ishlash majburiyatini oladi. </w:t>
      </w:r>
    </w:p>
    <w:p>
      <w:pPr>
        <w:pStyle w:val="Normal"/>
        <w:widowControl/>
        <w:suppressAutoHyphens w:val="true"/>
        <w:ind w:firstLine="567"/>
        <w:jc w:val="both"/>
        <w:rPr/>
      </w:pPr>
      <w:r>
        <w:rPr>
          <w:sz w:val="26"/>
          <w:szCs w:val="26"/>
          <w:lang w:val="en-US"/>
        </w:rPr>
        <w:t>8.5. Qabul qiluvchi tomon tomonidan olingan ma’lumotlar maxfiy hisoblanmaydi va shunga ko’ra, Qabul qiluvchi tomon, agar u quyidagi xususiyatlardan biriga javob bersa, bunday ma’lumotlarga nisbatan maxfiylikni saqlash majburiyatiga ega emas:</w:t>
      </w:r>
    </w:p>
    <w:p>
      <w:pPr>
        <w:pStyle w:val="Normal"/>
        <w:widowControl/>
        <w:suppressAutoHyphens w:val="true"/>
        <w:ind w:firstLine="567"/>
        <w:jc w:val="both"/>
        <w:rPr/>
      </w:pPr>
      <w:r>
        <w:rPr>
          <w:sz w:val="26"/>
          <w:szCs w:val="26"/>
          <w:lang w:val="en-US"/>
        </w:rPr>
        <w:t>8.5.1. Oshkora qilingan paytdagi ma’lumotlar ommaga ma’lum bo’lsa;</w:t>
      </w:r>
    </w:p>
    <w:p>
      <w:pPr>
        <w:pStyle w:val="Normal"/>
        <w:widowControl/>
        <w:suppressAutoHyphens w:val="true"/>
        <w:ind w:firstLine="567"/>
        <w:jc w:val="both"/>
        <w:rPr>
          <w:sz w:val="26"/>
          <w:szCs w:val="26"/>
          <w:lang w:val="en-US"/>
        </w:rPr>
      </w:pPr>
      <w:r>
        <w:rPr>
          <w:sz w:val="26"/>
          <w:szCs w:val="26"/>
          <w:lang w:val="en-US"/>
        </w:rPr>
        <w:t>8.5.2. Axborot maxfiy emasligi to’g’risida yozma ko’rsatma bilan qabul qiluvchi Tomonga taqdim etilganida;</w:t>
      </w:r>
    </w:p>
    <w:p>
      <w:pPr>
        <w:pStyle w:val="Normal"/>
        <w:widowControl/>
        <w:suppressAutoHyphens w:val="true"/>
        <w:ind w:firstLine="567"/>
        <w:jc w:val="both"/>
        <w:rPr/>
      </w:pPr>
      <w:r>
        <w:rPr>
          <w:sz w:val="26"/>
          <w:szCs w:val="26"/>
          <w:lang w:val="en-US"/>
        </w:rPr>
        <w:t>8.5.3. Ma’lumotlar qonuniy ravishda istalgan uchinchi shaxslardan olinganida;</w:t>
      </w:r>
    </w:p>
    <w:p>
      <w:pPr>
        <w:pStyle w:val="Normal"/>
        <w:widowControl/>
        <w:suppressAutoHyphens w:val="true"/>
        <w:ind w:firstLine="567"/>
        <w:jc w:val="both"/>
        <w:rPr>
          <w:sz w:val="26"/>
          <w:szCs w:val="26"/>
          <w:lang w:val="en-US"/>
        </w:rPr>
      </w:pPr>
      <w:r>
        <w:rPr>
          <w:sz w:val="26"/>
          <w:szCs w:val="26"/>
          <w:lang w:val="en-US"/>
        </w:rPr>
        <w:t>8.5.4. O’zbekiston Respublikasi qonunchiligiga muvofiq maxfiy hisoblanmaydigan ma’lumotlar bo’lganida.</w:t>
      </w:r>
    </w:p>
    <w:p>
      <w:pPr>
        <w:pStyle w:val="Normal"/>
        <w:widowControl/>
        <w:suppressAutoHyphens w:val="true"/>
        <w:ind w:firstLine="567"/>
        <w:jc w:val="both"/>
        <w:rPr/>
      </w:pPr>
      <w:r>
        <w:rPr>
          <w:sz w:val="26"/>
          <w:szCs w:val="26"/>
          <w:lang w:val="en-US"/>
        </w:rPr>
        <w:t>8.6. Qabul qiluvchi Tomon maxfiy ma’lumotlarni oshkor qiluvchi Tomonning roziligisiz oshkor qilishga haqli:</w:t>
      </w:r>
    </w:p>
    <w:p>
      <w:pPr>
        <w:pStyle w:val="Normal"/>
        <w:widowControl/>
        <w:suppressAutoHyphens w:val="true"/>
        <w:ind w:firstLine="567"/>
        <w:jc w:val="both"/>
        <w:rPr>
          <w:sz w:val="26"/>
          <w:szCs w:val="26"/>
          <w:lang w:val="en-US"/>
        </w:rPr>
      </w:pPr>
      <w:r>
        <w:rPr>
          <w:sz w:val="26"/>
          <w:szCs w:val="26"/>
          <w:lang w:val="en-US"/>
        </w:rPr>
        <w:t>8.6.1. Agar ma’lumot qonunga, boshqa normativ-huquqiy hujjatga, sud hujjatiga muvofiq oshkor etilishi kerak bo’lsa, axborotni olgan Tomon boshqa Tomonni yozma ravishda xabardor qiladi va bunday oshkor qilish zarurligini tasdiqlaydi.</w:t>
      </w:r>
    </w:p>
    <w:p>
      <w:pPr>
        <w:pStyle w:val="Normal"/>
        <w:widowControl/>
        <w:suppressAutoHyphens w:val="true"/>
        <w:ind w:firstLine="567"/>
        <w:jc w:val="both"/>
        <w:rPr/>
      </w:pPr>
      <w:r>
        <w:rPr>
          <w:sz w:val="26"/>
          <w:szCs w:val="26"/>
          <w:lang w:val="en-US"/>
        </w:rPr>
        <w:t>8.7. Tomonlardan biri maxfiylik shartlarini buzgan taqdirda, bunday Tomon boshqa Tomonga yetkazilgan real zararni Toshkent shahar tumanlararo xo’jalik sudining qonuniy kuchga kirgan hal qiluv qarori asosida qoplashi shart.</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9. Yakuniy qoidalar</w:t>
      </w:r>
    </w:p>
    <w:p>
      <w:pPr>
        <w:pStyle w:val="Normal"/>
        <w:widowControl/>
        <w:suppressAutoHyphens w:val="true"/>
        <w:ind w:firstLine="567"/>
        <w:jc w:val="both"/>
        <w:rPr/>
      </w:pPr>
      <w:r>
        <w:rPr>
          <w:sz w:val="26"/>
          <w:szCs w:val="26"/>
          <w:lang w:val="en-US"/>
        </w:rPr>
        <w:t>9.1. Ushbu Shartnoma Tomonlar imzolagan paytdan boshlab kuchga kiradi va 2022 yil 31 dekabrga qadar amal qiladi.</w:t>
      </w:r>
    </w:p>
    <w:p>
      <w:pPr>
        <w:pStyle w:val="Normal"/>
        <w:widowControl/>
        <w:suppressAutoHyphens w:val="true"/>
        <w:ind w:firstLine="567"/>
        <w:jc w:val="both"/>
        <w:rPr/>
      </w:pPr>
      <w:r>
        <w:rPr>
          <w:sz w:val="26"/>
          <w:szCs w:val="26"/>
          <w:lang w:val="en-US"/>
        </w:rPr>
        <w:t>Agar, Shartnomaning belgilangan amal qilish muddati tugaganidan so`ng, Tomonlar o’z shartlarini bajarishni davom ettirsa va tomonlarning hech biri uning bekor qilinishini e’lon qilmagan bo`lsa, Shartnoma har bir keyingi yilga avtomatik ravishda uzaytiriladi.</w:t>
      </w:r>
    </w:p>
    <w:p>
      <w:pPr>
        <w:pStyle w:val="Normal"/>
        <w:widowControl/>
        <w:suppressAutoHyphens w:val="true"/>
        <w:ind w:firstLine="567"/>
        <w:jc w:val="both"/>
        <w:rPr/>
      </w:pPr>
      <w:r>
        <w:rPr>
          <w:sz w:val="26"/>
          <w:szCs w:val="26"/>
          <w:lang w:val="en-US"/>
        </w:rPr>
        <w:t>9.2. Ushbu Shartnoma Tomonlar o’zaro imzolagan kelishuvi bilan bekor qilinishi mumkin.</w:t>
      </w:r>
    </w:p>
    <w:p>
      <w:pPr>
        <w:pStyle w:val="Normal"/>
        <w:widowControl/>
        <w:suppressAutoHyphens w:val="true"/>
        <w:ind w:firstLine="567"/>
        <w:jc w:val="both"/>
        <w:rPr/>
      </w:pPr>
      <w:r>
        <w:rPr>
          <w:sz w:val="26"/>
          <w:szCs w:val="26"/>
          <w:lang w:val="en-US"/>
        </w:rPr>
        <w:t>9.3. Ushbu Shartnoma bekor qilingan taqdirda, topshirish-qabul qilish dalolatnomasi bo’yicha Ijrochiga topshirilgan uskuna Shartnoma bekor qilingan va barcha o’zaro hisob-kitoblarni amalga oshirgan kundan boshlab 3 (uch) ish kuni ichida Buyurtmachiga qaytarilishi kerak.</w:t>
      </w:r>
    </w:p>
    <w:p>
      <w:pPr>
        <w:pStyle w:val="Normal"/>
        <w:widowControl/>
        <w:suppressAutoHyphens w:val="true"/>
        <w:ind w:firstLine="567"/>
        <w:jc w:val="both"/>
        <w:rPr/>
      </w:pPr>
      <w:r>
        <w:rPr>
          <w:sz w:val="26"/>
          <w:szCs w:val="26"/>
          <w:lang w:val="en-US"/>
        </w:rPr>
        <w:t>Buyurtmachi ushbu muddat ichida Ijrochi bilan olib chiqish sanasi va vaqtini oldindan kelishib olgan holda, topshirish-qabul qilish dalolatnomasiga muvofiq Uskunalarni qabul qilish va jihozni olib chiqish majburiyatini zimmasiga oladi.</w:t>
      </w:r>
    </w:p>
    <w:p>
      <w:pPr>
        <w:pStyle w:val="Normal"/>
        <w:widowControl/>
        <w:suppressAutoHyphens w:val="true"/>
        <w:ind w:firstLine="567"/>
        <w:jc w:val="both"/>
        <w:rPr/>
      </w:pPr>
      <w:r>
        <w:rPr>
          <w:sz w:val="26"/>
          <w:szCs w:val="26"/>
          <w:lang w:val="en-US"/>
        </w:rPr>
        <w:t>9.4. Ushbu Shartnomaga faqat Tomonlar imzolagan o’zaro kelishuv asosida o’zgartirish va qo’shimchalar kiritilishi mumkin.</w:t>
      </w:r>
    </w:p>
    <w:p>
      <w:pPr>
        <w:pStyle w:val="Normal"/>
        <w:widowControl/>
        <w:suppressAutoHyphens w:val="true"/>
        <w:ind w:firstLine="567"/>
        <w:jc w:val="both"/>
        <w:rPr/>
      </w:pPr>
      <w:r>
        <w:rPr>
          <w:sz w:val="26"/>
          <w:szCs w:val="26"/>
          <w:lang w:val="en-US"/>
        </w:rPr>
        <w:t>9.6. Tomonlarning har biri ushbu Shartnomani tuzish, bajarish va bekor qilish bilan bog’liq har qanday ma’lumotlarga nisbatan to’liq maxfiylikni saqlashi shart.</w:t>
      </w:r>
    </w:p>
    <w:p>
      <w:pPr>
        <w:pStyle w:val="Normal"/>
        <w:widowControl/>
        <w:suppressAutoHyphens w:val="true"/>
        <w:ind w:firstLine="567"/>
        <w:jc w:val="both"/>
        <w:rPr/>
      </w:pPr>
      <w:r>
        <w:rPr>
          <w:sz w:val="26"/>
          <w:szCs w:val="26"/>
          <w:lang w:val="en-US"/>
        </w:rPr>
        <w:t>9.7. Ushbu Shartnoma bilan tartibga solinmagan barcha masalalar O’zbekiston Respublikasi qonun hujjatlariga muvofiq tartibga solinadi</w:t>
      </w:r>
    </w:p>
    <w:p>
      <w:pPr>
        <w:pStyle w:val="Normal"/>
        <w:widowControl/>
        <w:suppressAutoHyphens w:val="true"/>
        <w:ind w:firstLine="567"/>
        <w:jc w:val="both"/>
        <w:rPr/>
      </w:pPr>
      <w:r>
        <w:rPr>
          <w:sz w:val="26"/>
          <w:szCs w:val="26"/>
          <w:lang w:val="en-US"/>
        </w:rPr>
        <w:t>9.8. Ushbu Shartnoma har bir Tomon uchun bittadan ikkita nusxada tuziladi. Barcha nusxalar birxil yuridik kuchga ega.</w:t>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10. Yuridik manzillar, bank rekvizitlari va tomonlarning imzolari</w:t>
      </w:r>
    </w:p>
    <w:p>
      <w:pPr>
        <w:pStyle w:val="Normal"/>
        <w:widowControl/>
        <w:suppressAutoHyphens w:val="true"/>
        <w:rPr>
          <w:b/>
          <w:b/>
          <w:bCs/>
          <w:sz w:val="26"/>
          <w:szCs w:val="26"/>
          <w:lang w:val="en-US"/>
        </w:rPr>
      </w:pPr>
      <w:r>
        <w:rPr>
          <w:b/>
          <w:bCs/>
          <w:sz w:val="26"/>
          <w:szCs w:val="26"/>
          <w:lang w:val="en-US"/>
        </w:rPr>
      </w:r>
    </w:p>
    <w:p>
      <w:pPr>
        <w:pStyle w:val="Normal"/>
        <w:widowControl/>
        <w:suppressAutoHyphens w:val="true"/>
        <w:rPr>
          <w:bCs/>
          <w:sz w:val="26"/>
          <w:szCs w:val="26"/>
          <w:lang w:val="en-US"/>
        </w:rPr>
      </w:pPr>
      <w:r>
        <w:rPr>
          <w:bCs/>
          <w:sz w:val="26"/>
          <w:szCs w:val="26"/>
          <w:lang w:val="en-US"/>
        </w:rPr>
      </w:r>
    </w:p>
    <w:tbl>
      <w:tblPr>
        <w:tblW w:w="4300" w:type="pct"/>
        <w:jc w:val="center"/>
        <w:tblInd w:w="0" w:type="dxa"/>
        <w:tblLayout w:type="fixed"/>
        <w:tblCellMar>
          <w:top w:w="0" w:type="dxa"/>
          <w:left w:w="108" w:type="dxa"/>
          <w:bottom w:w="0" w:type="dxa"/>
          <w:right w:w="108" w:type="dxa"/>
        </w:tblCellMar>
      </w:tblPr>
      <w:tblGrid>
        <w:gridCol w:w="3474"/>
        <w:gridCol w:w="880"/>
        <w:gridCol w:w="3690"/>
      </w:tblGrid>
      <w:tr>
        <w:trPr/>
        <w:tc>
          <w:tcPr>
            <w:tcW w:w="3474" w:type="dxa"/>
            <w:tcBorders/>
          </w:tcPr>
          <w:p>
            <w:pPr>
              <w:pStyle w:val="Normal"/>
              <w:widowControl w:val="false"/>
              <w:jc w:val="center"/>
              <w:rPr>
                <w:b/>
                <w:b/>
                <w:bCs/>
                <w:sz w:val="26"/>
                <w:szCs w:val="26"/>
              </w:rPr>
            </w:pPr>
            <w:r>
              <w:rPr>
                <w:b/>
                <w:bCs/>
                <w:sz w:val="26"/>
                <w:szCs w:val="26"/>
                <w:lang w:val="en-US"/>
              </w:rPr>
              <w:t>IJROCHI</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lang w:val="en-US"/>
              </w:rPr>
              <w:t>BUYURTMACHI</w:t>
            </w:r>
          </w:p>
        </w:tc>
      </w:tr>
      <w:tr>
        <w:trPr/>
        <w:tc>
          <w:tcPr>
            <w:tcW w:w="3474" w:type="dxa"/>
            <w:tcBorders/>
          </w:tcPr>
          <w:p>
            <w:pPr>
              <w:pStyle w:val="Normal"/>
              <w:widowControl w:val="false"/>
              <w:jc w:val="center"/>
              <w:rPr>
                <w:lang w:val="en-US"/>
              </w:rPr>
            </w:pPr>
            <w:r>
              <w:rPr>
                <w:lang w:val="en-US"/>
              </w:rPr>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sz w:val="26"/>
                <w:szCs w:val="26"/>
                <w:lang w:val="uz-Cyrl-UZ"/>
              </w:rPr>
            </w:pPr>
            <w:r>
              <w:rPr>
                <w:b/>
                <w:sz w:val="26"/>
                <w:szCs w:val="26"/>
                <w:lang w:val="uz-Cyrl-UZ"/>
              </w:rPr>
            </w:r>
          </w:p>
        </w:tc>
      </w:tr>
      <w:tr>
        <w:trPr/>
        <w:tc>
          <w:tcPr>
            <w:tcW w:w="3474" w:type="dxa"/>
            <w:tcBorders/>
          </w:tcPr>
          <w:p>
            <w:pPr>
              <w:pStyle w:val="Normal"/>
              <w:widowControl w:val="false"/>
              <w:jc w:val="center"/>
              <w:rPr>
                <w:sz w:val="26"/>
                <w:szCs w:val="26"/>
              </w:rPr>
            </w:pPr>
            <w:r>
              <w:rPr>
                <w:rFonts w:eastAsia="MS Mincho;ＭＳ 明朝"/>
                <w:sz w:val="26"/>
                <w:szCs w:val="26"/>
                <w:lang w:val="en-US" w:eastAsia="ja-JP"/>
              </w:rPr>
              <w:t>“</w:t>
            </w:r>
            <w:r>
              <w:rPr>
                <w:rFonts w:eastAsia="MS Mincho;ＭＳ 明朝"/>
                <w:sz w:val="26"/>
                <w:szCs w:val="26"/>
                <w:lang w:val="en-US" w:eastAsia="ja-JP"/>
              </w:rPr>
              <w:t>UNICON.UZ” DUK</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sz w:val="26"/>
                <w:szCs w:val="26"/>
              </w:rPr>
            </w:pPr>
            <w:r>
              <w:rPr>
                <w:b w:val="false"/>
                <w:bCs w:val="false"/>
                <w:sz w:val="26"/>
                <w:szCs w:val="26"/>
                <w:shd w:fill="auto" w:val="clear"/>
                <w:lang w:val="en-US"/>
              </w:rPr>
              <w:t>{{client_fullname}}</w:t>
            </w:r>
          </w:p>
        </w:tc>
      </w:tr>
      <w:tr>
        <w:trPr/>
        <w:tc>
          <w:tcPr>
            <w:tcW w:w="3474" w:type="dxa"/>
            <w:tcBorders/>
          </w:tcPr>
          <w:p>
            <w:pPr>
              <w:pStyle w:val="Normal"/>
              <w:widowControl w:val="false"/>
              <w:jc w:val="center"/>
              <w:rPr>
                <w:b/>
                <w:b/>
                <w:sz w:val="26"/>
                <w:szCs w:val="26"/>
                <w:lang w:val="uz-Cyrl-UZ"/>
              </w:rPr>
            </w:pPr>
            <w:r>
              <w:rPr>
                <w:b/>
                <w:sz w:val="26"/>
                <w:szCs w:val="26"/>
                <w:lang w:val="uz-Cyrl-UZ"/>
              </w:rPr>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rPr>
                <w:b/>
                <w:b/>
                <w:sz w:val="26"/>
                <w:szCs w:val="26"/>
                <w:lang w:val="uz-Cyrl-UZ"/>
              </w:rPr>
            </w:pPr>
            <w:r>
              <w:rPr>
                <w:b/>
                <w:sz w:val="26"/>
                <w:szCs w:val="26"/>
                <w:lang w:val="uz-Cyrl-UZ"/>
              </w:rPr>
            </w:r>
          </w:p>
        </w:tc>
      </w:tr>
      <w:tr>
        <w:trPr/>
        <w:tc>
          <w:tcPr>
            <w:tcW w:w="3474" w:type="dxa"/>
            <w:tcBorders/>
          </w:tcPr>
          <w:p>
            <w:pPr>
              <w:pStyle w:val="Normal"/>
              <w:widowControl w:val="false"/>
              <w:jc w:val="center"/>
              <w:rPr>
                <w:sz w:val="26"/>
                <w:szCs w:val="26"/>
                <w:u w:val="single"/>
                <w:lang w:val="en-US"/>
              </w:rPr>
            </w:pPr>
            <w:r>
              <w:rPr>
                <w:bCs/>
                <w:sz w:val="26"/>
                <w:szCs w:val="26"/>
                <w:lang w:val="en-US"/>
              </w:rPr>
              <w:t xml:space="preserve">Manzil: 100087, Toshkent sh. Mingbuloq </w:t>
            </w:r>
            <w:r>
              <w:rPr>
                <w:sz w:val="26"/>
                <w:szCs w:val="26"/>
                <w:lang w:val="en-US"/>
              </w:rPr>
              <w:t>ko`chasi</w:t>
            </w:r>
            <w:r>
              <w:rPr>
                <w:bCs/>
                <w:sz w:val="26"/>
                <w:szCs w:val="26"/>
                <w:lang w:val="en-US"/>
              </w:rPr>
              <w:t>, 38-uy.</w:t>
            </w:r>
          </w:p>
          <w:p>
            <w:pPr>
              <w:pStyle w:val="Normal"/>
              <w:widowControl w:val="false"/>
              <w:suppressAutoHyphens w:val="true"/>
              <w:rPr>
                <w:bCs/>
                <w:sz w:val="26"/>
                <w:szCs w:val="26"/>
                <w:lang w:val="en-US"/>
              </w:rPr>
            </w:pPr>
            <w:r>
              <w:rPr>
                <w:bCs/>
                <w:sz w:val="26"/>
                <w:szCs w:val="26"/>
                <w:lang w:val="en-US"/>
              </w:rPr>
              <w:t>STIR: 200 898 586</w:t>
            </w:r>
          </w:p>
          <w:p>
            <w:pPr>
              <w:pStyle w:val="Normal"/>
              <w:widowControl w:val="false"/>
              <w:suppressAutoHyphens w:val="true"/>
              <w:rPr>
                <w:bCs/>
                <w:sz w:val="26"/>
                <w:szCs w:val="26"/>
                <w:lang w:val="en-US"/>
              </w:rPr>
            </w:pPr>
            <w:r>
              <w:rPr>
                <w:bCs/>
                <w:sz w:val="26"/>
                <w:szCs w:val="26"/>
                <w:lang w:val="en-US"/>
              </w:rPr>
              <w:t>MFO: 00401</w:t>
            </w:r>
          </w:p>
          <w:p>
            <w:pPr>
              <w:pStyle w:val="Normal"/>
              <w:widowControl w:val="false"/>
              <w:suppressAutoHyphens w:val="true"/>
              <w:rPr>
                <w:bCs/>
                <w:sz w:val="26"/>
                <w:szCs w:val="26"/>
                <w:lang w:val="en-US"/>
              </w:rPr>
            </w:pPr>
            <w:r>
              <w:rPr>
                <w:bCs/>
                <w:sz w:val="26"/>
                <w:szCs w:val="26"/>
                <w:lang w:val="en-US"/>
              </w:rPr>
              <w:t>OKED: 72190</w:t>
            </w:r>
          </w:p>
          <w:p>
            <w:pPr>
              <w:pStyle w:val="Normal"/>
              <w:widowControl w:val="false"/>
              <w:suppressAutoHyphens w:val="true"/>
              <w:rPr>
                <w:bCs/>
                <w:sz w:val="26"/>
                <w:szCs w:val="26"/>
                <w:lang w:val="en-US"/>
              </w:rPr>
            </w:pPr>
            <w:r>
              <w:rPr>
                <w:bCs/>
                <w:sz w:val="26"/>
                <w:szCs w:val="26"/>
                <w:lang w:val="en-US"/>
              </w:rPr>
              <w:t>H/r: 2021 0000 9001 5527 8001</w:t>
            </w:r>
          </w:p>
          <w:p>
            <w:pPr>
              <w:pStyle w:val="Normal"/>
              <w:widowControl w:val="false"/>
              <w:suppressAutoHyphens w:val="true"/>
              <w:rPr>
                <w:sz w:val="26"/>
                <w:szCs w:val="26"/>
              </w:rPr>
            </w:pPr>
            <w:r>
              <w:rPr>
                <w:bCs/>
                <w:sz w:val="26"/>
                <w:szCs w:val="26"/>
              </w:rPr>
              <w:t>Bank: Toshkent sh. AT “Aloqabank”</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rPr>
                <w:sz w:val="26"/>
                <w:szCs w:val="26"/>
              </w:rPr>
            </w:pPr>
            <w:r>
              <w:rPr>
                <w:sz w:val="26"/>
                <w:szCs w:val="26"/>
                <w:lang w:val="en-US"/>
              </w:rPr>
              <w:t xml:space="preserve">Manzil: </w:t>
            </w:r>
            <w:r>
              <w:rPr>
                <w:sz w:val="26"/>
                <w:szCs w:val="26"/>
                <w:lang w:val="uz-Cyrl-UZ"/>
              </w:rPr>
              <w:t>{{per_adr}}</w:t>
            </w:r>
            <w:r>
              <w:rPr>
                <w:sz w:val="26"/>
                <w:szCs w:val="26"/>
                <w:lang w:val="en-US"/>
              </w:rPr>
              <w:t>.</w:t>
            </w:r>
          </w:p>
          <w:p>
            <w:pPr>
              <w:pStyle w:val="Normal"/>
              <w:widowControl w:val="false"/>
              <w:rPr>
                <w:sz w:val="26"/>
                <w:szCs w:val="26"/>
              </w:rPr>
            </w:pPr>
            <w:r>
              <w:rPr>
                <w:sz w:val="26"/>
                <w:szCs w:val="26"/>
                <w:lang w:val="en-US"/>
              </w:rPr>
              <w:t xml:space="preserve">Pasport s/r: </w:t>
            </w:r>
            <w:r>
              <w:rPr>
                <w:sz w:val="26"/>
                <w:szCs w:val="26"/>
                <w:lang w:val="uz-Cyrl-UZ"/>
              </w:rPr>
              <w:t>{{pport_no}}</w:t>
            </w:r>
          </w:p>
          <w:p>
            <w:pPr>
              <w:pStyle w:val="Normal"/>
              <w:widowControl w:val="false"/>
              <w:rPr>
                <w:sz w:val="26"/>
                <w:szCs w:val="26"/>
              </w:rPr>
            </w:pPr>
            <w:r>
              <w:rPr>
                <w:sz w:val="26"/>
                <w:szCs w:val="26"/>
                <w:lang w:val="en-US"/>
              </w:rPr>
              <w:t xml:space="preserve">JShShIR: </w:t>
            </w:r>
            <w:r>
              <w:rPr>
                <w:sz w:val="26"/>
                <w:szCs w:val="26"/>
              </w:rPr>
              <w:t>{{pin}}</w:t>
            </w:r>
          </w:p>
        </w:tc>
      </w:tr>
      <w:tr>
        <w:trPr/>
        <w:tc>
          <w:tcPr>
            <w:tcW w:w="3474" w:type="dxa"/>
            <w:tcBorders/>
          </w:tcPr>
          <w:p>
            <w:pPr>
              <w:pStyle w:val="Normal"/>
              <w:widowControl w:val="false"/>
              <w:jc w:val="center"/>
              <w:rPr>
                <w:sz w:val="26"/>
                <w:szCs w:val="26"/>
                <w:u w:val="single"/>
                <w:lang w:val="en-US"/>
              </w:rPr>
            </w:pPr>
            <w:r>
              <w:rPr>
                <w:sz w:val="26"/>
                <w:szCs w:val="26"/>
                <w:u w:val="single"/>
                <w:lang w:val="en-US"/>
              </w:rPr>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sz w:val="26"/>
                <w:szCs w:val="26"/>
                <w:lang w:val="uz-Cyrl-UZ"/>
              </w:rPr>
            </w:pPr>
            <w:r>
              <w:rPr>
                <w:b/>
                <w:sz w:val="26"/>
                <w:szCs w:val="26"/>
                <w:lang w:val="uz-Cyrl-UZ"/>
              </w:rPr>
            </w:r>
          </w:p>
        </w:tc>
      </w:tr>
      <w:tr>
        <w:trPr>
          <w:trHeight w:val="418" w:hRule="atLeast"/>
        </w:trPr>
        <w:tc>
          <w:tcPr>
            <w:tcW w:w="3474" w:type="dxa"/>
            <w:tcBorders/>
          </w:tcPr>
          <w:p>
            <w:pPr>
              <w:pStyle w:val="Normal"/>
              <w:widowControl w:val="false"/>
              <w:jc w:val="center"/>
              <w:rPr>
                <w:b/>
                <w:b/>
                <w:bCs/>
                <w:sz w:val="26"/>
                <w:szCs w:val="26"/>
              </w:rPr>
            </w:pPr>
            <w:r>
              <w:rPr>
                <w:b/>
                <w:bCs/>
                <w:sz w:val="26"/>
                <w:szCs w:val="26"/>
              </w:rPr>
              <w:t>М.М.</w:t>
            </w:r>
            <w:r>
              <w:rPr>
                <w:b/>
                <w:bCs/>
                <w:sz w:val="26"/>
                <w:szCs w:val="26"/>
                <w:lang w:val="uz-Cyrl-UZ"/>
              </w:rPr>
              <w:t xml:space="preserve"> </w:t>
            </w:r>
            <w:r>
              <w:rPr>
                <w:b/>
                <w:bCs/>
                <w:sz w:val="26"/>
                <w:szCs w:val="26"/>
              </w:rPr>
              <w:t>Maxmudov</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lang w:val="en-US"/>
              </w:rPr>
              <w:t>{{client}}</w:t>
            </w:r>
          </w:p>
        </w:tc>
      </w:tr>
      <w:tr>
        <w:trPr/>
        <w:tc>
          <w:tcPr>
            <w:tcW w:w="3474" w:type="dxa"/>
            <w:tcBorders/>
          </w:tcPr>
          <w:p>
            <w:pPr>
              <w:pStyle w:val="Normal"/>
              <w:widowControl w:val="false"/>
              <w:jc w:val="center"/>
              <w:rPr/>
            </w:pPr>
            <w:r>
              <w:rPr>
                <w:bCs/>
                <w:sz w:val="26"/>
                <w:szCs w:val="26"/>
                <w:u w:val="none"/>
                <w:lang w:val="en-US"/>
              </w:rPr>
              <w:t>{{qr_unicon}}</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u w:val="none"/>
              </w:rPr>
            </w:pPr>
            <w:r>
              <w:rPr>
                <w:bCs/>
                <w:sz w:val="26"/>
                <w:szCs w:val="26"/>
                <w:u w:val="none"/>
                <w:lang w:val="en-US"/>
              </w:rPr>
              <w:t>{{qr_client}}</w:t>
            </w:r>
          </w:p>
        </w:tc>
      </w:tr>
    </w:tbl>
    <w:p>
      <w:pPr>
        <w:pStyle w:val="Normal"/>
        <w:widowControl/>
        <w:suppressAutoHyphens w:val="true"/>
        <w:ind w:hanging="0"/>
        <w:jc w:val="right"/>
        <w:rPr/>
      </w:pPr>
      <w:r>
        <w:rPr>
          <w:sz w:val="26"/>
          <w:szCs w:val="26"/>
          <w:lang w:val="en-US"/>
        </w:rPr>
        <w:t>{{day}}.{{month}}.{{year}}</w:t>
      </w:r>
    </w:p>
    <w:p>
      <w:pPr>
        <w:pStyle w:val="Normal"/>
        <w:widowControl/>
        <w:suppressAutoHyphens w:val="true"/>
        <w:ind w:hanging="0"/>
        <w:jc w:val="right"/>
        <w:rPr/>
      </w:pPr>
      <w:r>
        <w:rPr>
          <w:sz w:val="26"/>
          <w:szCs w:val="26"/>
          <w:lang w:val="en-US"/>
        </w:rPr>
        <w:t>{{contract_number}}-sonli shartnomaga</w:t>
      </w:r>
    </w:p>
    <w:p>
      <w:pPr>
        <w:pStyle w:val="Normal"/>
        <w:widowControl/>
        <w:suppressAutoHyphens w:val="true"/>
        <w:ind w:hanging="0"/>
        <w:jc w:val="right"/>
        <w:rPr/>
      </w:pPr>
      <w:r>
        <w:rPr>
          <w:sz w:val="26"/>
          <w:szCs w:val="26"/>
          <w:lang w:val="uz-Cyrl-UZ"/>
        </w:rPr>
        <w:t>1</w:t>
      </w:r>
      <w:r>
        <w:rPr>
          <w:sz w:val="26"/>
          <w:szCs w:val="26"/>
          <w:lang w:val="en-US"/>
        </w:rPr>
        <w:t>-ilova</w:t>
      </w:r>
    </w:p>
    <w:p>
      <w:pPr>
        <w:pStyle w:val="Normal"/>
        <w:widowControl/>
        <w:suppressAutoHyphens w:val="true"/>
        <w:jc w:val="right"/>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MUAYYAN NARXGA KELISHISH DALOLATNOMASI</w:t>
      </w:r>
    </w:p>
    <w:p>
      <w:pPr>
        <w:pStyle w:val="Normal"/>
        <w:widowControl/>
        <w:suppressAutoHyphens w:val="true"/>
        <w:rPr>
          <w:b/>
          <w:b/>
          <w:sz w:val="26"/>
          <w:szCs w:val="26"/>
          <w:lang w:val="en-US"/>
        </w:rPr>
      </w:pPr>
      <w:r>
        <w:rPr>
          <w:b/>
          <w:sz w:val="26"/>
          <w:szCs w:val="26"/>
          <w:lang w:val="en-US"/>
        </w:rPr>
      </w:r>
    </w:p>
    <w:p>
      <w:pPr>
        <w:pStyle w:val="Normal"/>
        <w:widowControl/>
        <w:suppressAutoHyphens w:val="true"/>
        <w:ind w:firstLine="567"/>
        <w:jc w:val="both"/>
        <w:rPr>
          <w:sz w:val="26"/>
          <w:szCs w:val="26"/>
          <w:lang w:val="en-US"/>
        </w:rPr>
      </w:pPr>
      <w:r>
        <w:rPr>
          <w:b/>
          <w:bCs/>
          <w:color w:val="000000"/>
          <w:sz w:val="26"/>
          <w:szCs w:val="26"/>
          <w:lang w:val="en-US"/>
        </w:rPr>
        <w:t>“</w:t>
      </w:r>
      <w:r>
        <w:rPr>
          <w:b/>
          <w:bCs/>
          <w:color w:val="000000"/>
          <w:sz w:val="26"/>
          <w:szCs w:val="26"/>
          <w:lang w:val="en-US"/>
        </w:rPr>
        <w:t>UNICON.UZ” Fan-tehnika va marketing tadqiqotlari markazi davlat unitar korxonasi</w:t>
      </w:r>
      <w:r>
        <w:rPr>
          <w:color w:val="000000"/>
          <w:sz w:val="26"/>
          <w:szCs w:val="26"/>
          <w:lang w:val="en-US"/>
        </w:rPr>
        <w:t xml:space="preserve">, keyingi o’rinlarda “Ijrochi” deb yuritiladi, Nizom asosida ish yurituvchi, direktor </w:t>
      </w:r>
      <w:r>
        <w:rPr>
          <w:b/>
          <w:bCs/>
          <w:color w:val="000000"/>
          <w:sz w:val="26"/>
          <w:szCs w:val="26"/>
          <w:lang w:val="en-US"/>
        </w:rPr>
        <w:t>M.M. Maxmudov</w:t>
      </w:r>
      <w:r>
        <w:rPr>
          <w:color w:val="000000"/>
          <w:sz w:val="26"/>
          <w:szCs w:val="26"/>
          <w:lang w:val="en-US"/>
        </w:rPr>
        <w:t xml:space="preserve"> bir tomondan, {{</w:t>
      </w:r>
      <w:bookmarkStart w:id="2" w:name="__DdeLink__743_15608075921"/>
      <w:r>
        <w:rPr>
          <w:color w:val="000000"/>
          <w:sz w:val="26"/>
          <w:szCs w:val="26"/>
          <w:lang w:val="en-US"/>
        </w:rPr>
        <w:t>p</w:t>
      </w:r>
      <w:bookmarkEnd w:id="2"/>
      <w:r>
        <w:rPr>
          <w:color w:val="000000"/>
          <w:sz w:val="26"/>
          <w:szCs w:val="26"/>
          <w:lang w:val="en-US"/>
        </w:rPr>
        <w:t xml:space="preserve">er_adr}}, {{pport_no}} raqamli fuqarolik pasporti egasi fuqaro </w:t>
      </w:r>
      <w:r>
        <w:rPr>
          <w:b/>
          <w:bCs/>
          <w:color w:val="000000"/>
          <w:sz w:val="26"/>
          <w:szCs w:val="26"/>
          <w:lang w:val="en-US"/>
        </w:rPr>
        <w:t>{{client}}</w:t>
      </w:r>
      <w:r>
        <w:rPr>
          <w:color w:val="000000"/>
          <w:sz w:val="26"/>
          <w:szCs w:val="26"/>
          <w:lang w:val="en-US"/>
        </w:rPr>
        <w:t xml:space="preserve"> </w:t>
      </w:r>
      <w:r>
        <w:rPr>
          <w:rFonts w:eastAsia="MS Mincho;ＭＳ 明朝"/>
          <w:color w:val="000000"/>
          <w:sz w:val="26"/>
          <w:szCs w:val="26"/>
          <w:lang w:val="en-US" w:eastAsia="ja-JP"/>
        </w:rPr>
        <w:t xml:space="preserve"> keyingi o’rinlarda “Buyurtmachi” deb yuritiladi, </w:t>
      </w:r>
      <w:r>
        <w:rPr>
          <w:color w:val="000000"/>
          <w:sz w:val="26"/>
          <w:szCs w:val="26"/>
          <w:lang w:val="en-US"/>
        </w:rPr>
        <w:t>ikkinchi tomondan, keyingi o’rinlarda birgalikda “Tomonlar”deb yuritiladi</w:t>
      </w:r>
      <w:r>
        <w:rPr>
          <w:sz w:val="26"/>
          <w:szCs w:val="26"/>
          <w:lang w:val="en-US"/>
        </w:rPr>
        <w:t xml:space="preserve">, </w:t>
      </w:r>
    </w:p>
    <w:p>
      <w:pPr>
        <w:pStyle w:val="Normal"/>
        <w:widowControl/>
        <w:suppressAutoHyphens w:val="true"/>
        <w:ind w:firstLine="567"/>
        <w:jc w:val="both"/>
        <w:rPr>
          <w:sz w:val="26"/>
          <w:szCs w:val="26"/>
          <w:lang w:val="en-US"/>
        </w:rPr>
      </w:pPr>
      <w:r>
        <w:rPr>
          <w:sz w:val="26"/>
          <w:szCs w:val="26"/>
          <w:lang w:val="en-US"/>
        </w:rPr>
        <w:t xml:space="preserve">Toshkent shahri Mingbuloq ko’chasi 38-uy manzilidagi Ijrochining Data-markaziga joylashtirgan holda ushbu Shartnoma shartlarida belgilangan tartibda “Co-location” </w:t>
      </w:r>
      <w:r>
        <w:rPr>
          <w:color w:val="000000"/>
          <w:sz w:val="26"/>
          <w:szCs w:val="26"/>
          <w:lang w:val="en-US"/>
        </w:rPr>
        <w:t xml:space="preserve">(server va/yoki tarmoq uskunalarini Data-markazga joylashtirish) </w:t>
      </w:r>
      <w:r>
        <w:rPr>
          <w:sz w:val="26"/>
          <w:szCs w:val="26"/>
          <w:lang w:val="en-US"/>
        </w:rPr>
        <w:t xml:space="preserve">xizmatini taqdim etish boʻyicha ishlarni bajarish uchun </w:t>
      </w:r>
      <w:r>
        <w:rPr>
          <w:rFonts w:eastAsia="MS Mincho;ＭＳ 明朝"/>
          <w:b/>
          <w:color w:val="000000"/>
          <w:sz w:val="26"/>
          <w:szCs w:val="26"/>
          <w:lang w:val="en-US" w:eastAsia="ja-JP"/>
        </w:rPr>
        <w:t>{{price_month}}</w:t>
      </w:r>
      <w:r>
        <w:rPr>
          <w:rFonts w:eastAsia="MS Mincho"/>
          <w:color w:val="000000"/>
          <w:sz w:val="26"/>
          <w:szCs w:val="26"/>
          <w:lang w:val="en-US" w:eastAsia="ja-JP"/>
        </w:rPr>
        <w:t xml:space="preserve"> (</w:t>
      </w:r>
      <w:r>
        <w:rPr>
          <w:rFonts w:eastAsia="MS Mincho;ＭＳ 明朝"/>
          <w:b/>
          <w:color w:val="000000"/>
          <w:sz w:val="26"/>
          <w:szCs w:val="26"/>
          <w:lang w:val="en-US" w:eastAsia="ja-JP"/>
        </w:rPr>
        <w:t>{{price_month_text}}</w:t>
      </w:r>
      <w:r>
        <w:rPr>
          <w:rFonts w:eastAsia="MS Mincho"/>
          <w:color w:val="000000"/>
          <w:sz w:val="26"/>
          <w:szCs w:val="26"/>
          <w:lang w:val="en-US" w:eastAsia="ja-JP"/>
        </w:rPr>
        <w:t>)</w:t>
      </w:r>
      <w:r>
        <w:rPr>
          <w:rFonts w:eastAsia="MS Mincho;ＭＳ 明朝"/>
          <w:color w:val="000000"/>
          <w:sz w:val="26"/>
          <w:szCs w:val="26"/>
          <w:lang w:val="en-US" w:eastAsia="ja-JP"/>
        </w:rPr>
        <w:t xml:space="preserve"> </w:t>
      </w:r>
      <w:r>
        <w:rPr>
          <w:sz w:val="26"/>
          <w:szCs w:val="26"/>
          <w:lang w:val="en-US"/>
        </w:rPr>
        <w:t xml:space="preserve">soʻm </w:t>
      </w:r>
      <w:r>
        <w:rPr>
          <w:color w:val="000000"/>
          <w:sz w:val="26"/>
          <w:szCs w:val="26"/>
          <w:lang w:val="en-US"/>
        </w:rPr>
        <w:t xml:space="preserve">oylik abonent to’lovi </w:t>
      </w:r>
      <w:r>
        <w:rPr>
          <w:sz w:val="26"/>
          <w:szCs w:val="26"/>
          <w:lang w:val="en-US"/>
        </w:rPr>
        <w:t>miqdorida (QQS bilan) shartnoma narxini belgilash toʻgʻrisida kelishuvga erishilganligi toʻgʻrisida ushbu Dalolatnomani imzolashdi.</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jc w:val="center"/>
        <w:rPr>
          <w:b/>
          <w:b/>
          <w:bCs/>
          <w:sz w:val="26"/>
          <w:szCs w:val="26"/>
          <w:lang w:val="en-US"/>
        </w:rPr>
      </w:pPr>
      <w:r>
        <w:rPr>
          <w:b/>
          <w:bCs/>
          <w:sz w:val="26"/>
          <w:szCs w:val="26"/>
          <w:lang w:val="en-US"/>
        </w:rPr>
        <w:t>Xizmatlar ro`yxati va to`lov miqdori jadvali</w:t>
      </w:r>
    </w:p>
    <w:p>
      <w:pPr>
        <w:pStyle w:val="Normal"/>
        <w:widowControl/>
        <w:suppressAutoHyphens w:val="true"/>
        <w:ind w:firstLine="567"/>
        <w:jc w:val="right"/>
        <w:rPr/>
      </w:pPr>
      <w:r>
        <w:rPr/>
        <w:t>so`m</w:t>
      </w:r>
    </w:p>
    <w:tbl>
      <w:tblPr>
        <w:tblW w:w="9570" w:type="dxa"/>
        <w:jc w:val="left"/>
        <w:tblInd w:w="0" w:type="dxa"/>
        <w:tblLayout w:type="fixed"/>
        <w:tblCellMar>
          <w:top w:w="0" w:type="dxa"/>
          <w:left w:w="108" w:type="dxa"/>
          <w:bottom w:w="0" w:type="dxa"/>
          <w:right w:w="108" w:type="dxa"/>
        </w:tblCellMar>
      </w:tblPr>
      <w:tblGrid>
        <w:gridCol w:w="709"/>
        <w:gridCol w:w="4409"/>
        <w:gridCol w:w="2226"/>
        <w:gridCol w:w="2225"/>
      </w:tblGrid>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T./r.</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Hizmat nomlanishi</w:t>
            </w:r>
          </w:p>
        </w:tc>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Soni</w:t>
            </w:r>
          </w:p>
        </w:tc>
        <w:tc>
          <w:tcPr>
            <w:tcW w:w="2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b/>
                <w:bCs/>
                <w:sz w:val="26"/>
                <w:szCs w:val="26"/>
                <w:lang w:val="en-US"/>
              </w:rPr>
              <w:t>Miqdori</w:t>
            </w:r>
            <w:r>
              <w:rPr>
                <w:sz w:val="26"/>
                <w:szCs w:val="26"/>
                <w:lang w:val="en-US"/>
              </w:rPr>
              <w:t xml:space="preserve"> </w:t>
              <w:br/>
            </w:r>
            <w:r>
              <w:rPr>
                <w:i/>
                <w:iCs/>
                <w:sz w:val="26"/>
                <w:szCs w:val="26"/>
                <w:lang w:val="en-US"/>
              </w:rPr>
              <w:t>(QQS bilan)</w:t>
            </w:r>
          </w:p>
        </w:tc>
      </w:tr>
      <w:tr>
        <w:trPr/>
        <w:tc>
          <w:tcPr>
            <w:tcW w:w="956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suppressAutoHyphens w:val="true"/>
              <w:rPr>
                <w:b/>
                <w:b/>
                <w:bCs/>
                <w:i/>
                <w:i/>
                <w:iCs/>
                <w:sz w:val="26"/>
                <w:szCs w:val="26"/>
                <w:lang w:val="en-US"/>
              </w:rPr>
            </w:pPr>
            <w:r>
              <w:rPr>
                <w:b/>
                <w:bCs/>
                <w:i/>
                <w:iCs/>
                <w:sz w:val="26"/>
                <w:szCs w:val="26"/>
                <w:lang w:val="en-US"/>
              </w:rPr>
              <w:t>Bir marttalik to`lovlar</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sz w:val="26"/>
                <w:szCs w:val="26"/>
                <w:lang w:val="en-US"/>
              </w:rPr>
              <w:t>1</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rPr>
                <w:b/>
                <w:b/>
                <w:bCs/>
                <w:sz w:val="26"/>
                <w:szCs w:val="26"/>
                <w:lang w:val="en-US"/>
              </w:rPr>
            </w:pPr>
            <w:r>
              <w:rPr>
                <w:sz w:val="26"/>
                <w:szCs w:val="26"/>
                <w:lang w:val="en-US"/>
              </w:rPr>
              <w:t>Qurilmalarni montaj qilish</w:t>
            </w:r>
          </w:p>
        </w:tc>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sz w:val="26"/>
                <w:szCs w:val="26"/>
                <w:lang w:val="en-US"/>
              </w:rPr>
              <w:t>-</w:t>
            </w:r>
          </w:p>
        </w:tc>
        <w:tc>
          <w:tcPr>
            <w:tcW w:w="2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sz w:val="26"/>
                <w:szCs w:val="26"/>
                <w:lang w:val="en-US"/>
              </w:rPr>
              <w:t>0</w:t>
            </w:r>
          </w:p>
        </w:tc>
      </w:tr>
      <w:tr>
        <w:trPr/>
        <w:tc>
          <w:tcPr>
            <w:tcW w:w="956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suppressAutoHyphens w:val="true"/>
              <w:rPr>
                <w:b/>
                <w:b/>
                <w:bCs/>
                <w:i/>
                <w:i/>
                <w:iCs/>
                <w:sz w:val="26"/>
                <w:szCs w:val="26"/>
                <w:lang w:val="en-US"/>
              </w:rPr>
            </w:pPr>
            <w:r>
              <w:rPr>
                <w:b/>
                <w:bCs/>
                <w:i/>
                <w:iCs/>
                <w:sz w:val="26"/>
                <w:szCs w:val="26"/>
                <w:lang w:val="en-US"/>
              </w:rPr>
              <w:t>Har oylik abonent to`lovlari</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sz w:val="26"/>
                <w:szCs w:val="26"/>
                <w:lang w:val="en-US"/>
              </w:rPr>
              <w:t>1</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both"/>
              <w:rPr>
                <w:sz w:val="26"/>
                <w:szCs w:val="26"/>
                <w:lang w:val="en-US"/>
              </w:rPr>
            </w:pPr>
            <w:r>
              <w:rPr>
                <w:sz w:val="26"/>
                <w:szCs w:val="26"/>
                <w:lang w:val="en-US"/>
              </w:rPr>
              <w:t>{{tarif}}</w:t>
            </w:r>
          </w:p>
        </w:tc>
        <w:tc>
          <w:tcPr>
            <w:tcW w:w="2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highlight w:val="none"/>
                <w:shd w:fill="auto" w:val="clear"/>
              </w:rPr>
            </w:pPr>
            <w:r>
              <w:rPr>
                <w:sz w:val="26"/>
                <w:szCs w:val="26"/>
                <w:shd w:fill="auto" w:val="clear"/>
              </w:rPr>
              <w:t>{{count}}</w:t>
            </w:r>
          </w:p>
        </w:tc>
        <w:tc>
          <w:tcPr>
            <w:tcW w:w="22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highlight w:val="none"/>
                <w:shd w:fill="auto" w:val="clear"/>
              </w:rPr>
            </w:pPr>
            <w:r>
              <w:rPr>
                <w:sz w:val="26"/>
                <w:szCs w:val="26"/>
                <w:shd w:fill="auto" w:val="clear"/>
              </w:rPr>
              <w:t>{{price2}}</w:t>
            </w:r>
          </w:p>
        </w:tc>
      </w:tr>
      <w:tr>
        <w:trPr/>
        <w:tc>
          <w:tcPr>
            <w:tcW w:w="734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right"/>
              <w:rPr>
                <w:sz w:val="26"/>
                <w:szCs w:val="26"/>
                <w:lang w:val="en-US"/>
              </w:rPr>
            </w:pPr>
            <w:r>
              <w:rPr>
                <w:sz w:val="26"/>
                <w:szCs w:val="26"/>
                <w:lang w:val="en-US"/>
              </w:rPr>
              <w:t>Jami:</w:t>
            </w:r>
          </w:p>
        </w:tc>
        <w:tc>
          <w:tcPr>
            <w:tcW w:w="22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sz w:val="26"/>
                <w:szCs w:val="26"/>
              </w:rPr>
            </w:pPr>
            <w:r>
              <w:rPr>
                <w:sz w:val="26"/>
                <w:szCs w:val="26"/>
              </w:rPr>
              <w:t>{{</w:t>
            </w:r>
            <w:r>
              <w:rPr>
                <w:b w:val="false"/>
                <w:bCs w:val="false"/>
                <w:color w:val="000000"/>
                <w:sz w:val="26"/>
                <w:szCs w:val="26"/>
              </w:rPr>
              <w:t>price_month</w:t>
            </w:r>
            <w:r>
              <w:rPr>
                <w:sz w:val="26"/>
                <w:szCs w:val="26"/>
              </w:rPr>
              <w:t>}}</w:t>
            </w:r>
          </w:p>
        </w:tc>
      </w:tr>
    </w:tbl>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firstLine="567"/>
        <w:jc w:val="both"/>
        <w:rPr/>
      </w:pPr>
      <w:r>
        <w:rPr>
          <w:sz w:val="26"/>
          <w:szCs w:val="26"/>
          <w:lang w:val="en-US"/>
        </w:rPr>
        <w:t>Ushbu Dalolatnoma Ijrochi va Buyurtmachi o’rtasidagi o’zaro hisob-kitoblar uchun asos hisoblanadi. Shartnoma narxlari bo’yicha kelishuv Dalolatnomasi ushbu shartnomaning ajralmas qismi hisoblanadi.</w:t>
      </w:r>
    </w:p>
    <w:p>
      <w:pPr>
        <w:pStyle w:val="Normal"/>
        <w:widowControl/>
        <w:suppressAutoHyphens w:val="true"/>
        <w:ind w:firstLine="567"/>
        <w:rPr>
          <w:sz w:val="26"/>
          <w:szCs w:val="26"/>
          <w:lang w:val="en-US"/>
        </w:rPr>
      </w:pPr>
      <w:r>
        <w:rPr>
          <w:sz w:val="26"/>
          <w:szCs w:val="26"/>
          <w:lang w:val="en-US"/>
        </w:rPr>
      </w:r>
    </w:p>
    <w:tbl>
      <w:tblPr>
        <w:tblW w:w="4300" w:type="pct"/>
        <w:jc w:val="center"/>
        <w:tblInd w:w="0" w:type="dxa"/>
        <w:tblLayout w:type="fixed"/>
        <w:tblCellMar>
          <w:top w:w="0" w:type="dxa"/>
          <w:left w:w="108" w:type="dxa"/>
          <w:bottom w:w="0" w:type="dxa"/>
          <w:right w:w="108" w:type="dxa"/>
        </w:tblCellMar>
      </w:tblPr>
      <w:tblGrid>
        <w:gridCol w:w="3474"/>
        <w:gridCol w:w="880"/>
        <w:gridCol w:w="3690"/>
      </w:tblGrid>
      <w:tr>
        <w:trPr/>
        <w:tc>
          <w:tcPr>
            <w:tcW w:w="3474" w:type="dxa"/>
            <w:tcBorders/>
          </w:tcPr>
          <w:p>
            <w:pPr>
              <w:pStyle w:val="Normal"/>
              <w:widowControl w:val="false"/>
              <w:jc w:val="center"/>
              <w:rPr>
                <w:b/>
                <w:b/>
                <w:bCs/>
                <w:sz w:val="26"/>
                <w:szCs w:val="26"/>
              </w:rPr>
            </w:pPr>
            <w:r>
              <w:rPr>
                <w:b/>
                <w:bCs/>
                <w:sz w:val="26"/>
                <w:szCs w:val="26"/>
                <w:lang w:val="en-US"/>
              </w:rPr>
              <w:t>IJROCHI</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rPr>
              <w:t>BUYURTMACHI</w:t>
            </w:r>
          </w:p>
        </w:tc>
      </w:tr>
      <w:tr>
        <w:trPr/>
        <w:tc>
          <w:tcPr>
            <w:tcW w:w="3474" w:type="dxa"/>
            <w:tcBorders/>
          </w:tcPr>
          <w:p>
            <w:pPr>
              <w:pStyle w:val="Normal"/>
              <w:widowControl w:val="false"/>
              <w:jc w:val="center"/>
              <w:rPr>
                <w:b/>
                <w:b/>
                <w:sz w:val="26"/>
                <w:szCs w:val="26"/>
                <w:lang w:val="uz-Cyrl-UZ"/>
              </w:rPr>
            </w:pPr>
            <w:r>
              <w:rPr>
                <w:b/>
                <w:sz w:val="26"/>
                <w:szCs w:val="26"/>
                <w:lang w:val="uz-Cyrl-UZ"/>
              </w:rPr>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sz w:val="26"/>
                <w:szCs w:val="26"/>
                <w:lang w:val="en-US"/>
              </w:rPr>
            </w:pPr>
            <w:r>
              <w:rPr>
                <w:b/>
                <w:sz w:val="26"/>
                <w:szCs w:val="26"/>
                <w:lang w:val="en-US"/>
              </w:rPr>
            </w:r>
          </w:p>
        </w:tc>
      </w:tr>
      <w:tr>
        <w:trPr/>
        <w:tc>
          <w:tcPr>
            <w:tcW w:w="3474" w:type="dxa"/>
            <w:tcBorders/>
          </w:tcPr>
          <w:p>
            <w:pPr>
              <w:pStyle w:val="Normal"/>
              <w:widowControl w:val="false"/>
              <w:jc w:val="center"/>
              <w:rPr>
                <w:b/>
                <w:b/>
                <w:sz w:val="26"/>
                <w:szCs w:val="26"/>
                <w:u w:val="single"/>
                <w:lang w:val="en-US"/>
              </w:rPr>
            </w:pPr>
            <w:r>
              <w:rPr>
                <w:rFonts w:eastAsia="Times New Roman"/>
                <w:sz w:val="26"/>
                <w:szCs w:val="26"/>
                <w:lang w:val="en-US" w:eastAsia="ja-JP"/>
              </w:rPr>
              <w:t xml:space="preserve"> </w:t>
            </w:r>
            <w:r>
              <w:rPr>
                <w:rFonts w:eastAsia="MS Mincho;ＭＳ 明朝"/>
                <w:sz w:val="26"/>
                <w:szCs w:val="26"/>
                <w:lang w:val="en-US" w:eastAsia="ja-JP"/>
              </w:rPr>
              <w:t>“</w:t>
            </w:r>
            <w:r>
              <w:rPr>
                <w:rFonts w:eastAsia="MS Mincho;ＭＳ 明朝"/>
                <w:sz w:val="26"/>
                <w:szCs w:val="26"/>
                <w:lang w:val="en-US" w:eastAsia="ja-JP"/>
              </w:rPr>
              <w:t>UNICON.UZ” DUK</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shd w:fill="FFFFFF" w:val="clear"/>
          </w:tcPr>
          <w:p>
            <w:pPr>
              <w:pStyle w:val="Normal"/>
              <w:widowControl w:val="false"/>
              <w:jc w:val="center"/>
              <w:rPr/>
            </w:pPr>
            <w:r>
              <w:rPr>
                <w:b w:val="false"/>
                <w:bCs w:val="false"/>
                <w:sz w:val="26"/>
                <w:szCs w:val="26"/>
                <w:lang w:val="en-US"/>
              </w:rPr>
              <w:t>{{client_fullname}}</w:t>
            </w:r>
          </w:p>
        </w:tc>
      </w:tr>
      <w:tr>
        <w:trPr/>
        <w:tc>
          <w:tcPr>
            <w:tcW w:w="3474" w:type="dxa"/>
            <w:tcBorders/>
          </w:tcPr>
          <w:p>
            <w:pPr>
              <w:pStyle w:val="Normal"/>
              <w:widowControl w:val="false"/>
              <w:jc w:val="center"/>
              <w:rPr>
                <w:b/>
                <w:b/>
                <w:bCs/>
                <w:sz w:val="26"/>
                <w:szCs w:val="26"/>
              </w:rPr>
            </w:pPr>
            <w:r>
              <w:rPr>
                <w:b/>
                <w:bCs/>
                <w:sz w:val="26"/>
                <w:szCs w:val="26"/>
              </w:rPr>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rPr>
            </w:r>
          </w:p>
        </w:tc>
      </w:tr>
      <w:tr>
        <w:trPr>
          <w:trHeight w:val="523" w:hRule="atLeast"/>
        </w:trPr>
        <w:tc>
          <w:tcPr>
            <w:tcW w:w="3474" w:type="dxa"/>
            <w:tcBorders/>
          </w:tcPr>
          <w:p>
            <w:pPr>
              <w:pStyle w:val="Normal"/>
              <w:widowControl w:val="false"/>
              <w:jc w:val="center"/>
              <w:rPr>
                <w:b/>
                <w:b/>
                <w:bCs/>
                <w:sz w:val="26"/>
                <w:szCs w:val="26"/>
              </w:rPr>
            </w:pPr>
            <w:r>
              <w:rPr>
                <w:b/>
                <w:bCs/>
                <w:sz w:val="26"/>
                <w:szCs w:val="26"/>
              </w:rPr>
              <w:t>М</w:t>
            </w:r>
            <w:r>
              <w:rPr>
                <w:b/>
                <w:bCs/>
                <w:sz w:val="26"/>
                <w:szCs w:val="26"/>
                <w:lang w:val="en-US"/>
              </w:rPr>
              <w:t>.</w:t>
            </w:r>
            <w:r>
              <w:rPr>
                <w:b/>
                <w:bCs/>
                <w:sz w:val="26"/>
                <w:szCs w:val="26"/>
              </w:rPr>
              <w:t>М</w:t>
            </w:r>
            <w:r>
              <w:rPr>
                <w:b/>
                <w:bCs/>
                <w:sz w:val="26"/>
                <w:szCs w:val="26"/>
                <w:lang w:val="en-US"/>
              </w:rPr>
              <w:t>. Maxmudov</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rPr>
              <w:t>{{client}}</w:t>
            </w:r>
          </w:p>
        </w:tc>
      </w:tr>
      <w:tr>
        <w:trPr/>
        <w:tc>
          <w:tcPr>
            <w:tcW w:w="3474" w:type="dxa"/>
            <w:tcBorders/>
          </w:tcPr>
          <w:p>
            <w:pPr>
              <w:pStyle w:val="Normal"/>
              <w:widowControl w:val="false"/>
              <w:jc w:val="center"/>
              <w:rPr>
                <w:sz w:val="26"/>
                <w:szCs w:val="26"/>
              </w:rPr>
            </w:pPr>
            <w:r>
              <w:rPr>
                <w:bCs/>
                <w:sz w:val="26"/>
                <w:szCs w:val="26"/>
                <w:lang w:val="en-US"/>
              </w:rPr>
              <w:t>{{qr_unicon}}</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sz w:val="26"/>
                <w:szCs w:val="26"/>
              </w:rPr>
            </w:pPr>
            <w:r>
              <w:rPr>
                <w:bCs/>
                <w:sz w:val="26"/>
                <w:szCs w:val="26"/>
                <w:u w:val="none"/>
              </w:rPr>
              <w:t>{{qr_client}}</w:t>
            </w:r>
          </w:p>
        </w:tc>
      </w:tr>
    </w:tbl>
    <w:p>
      <w:pPr>
        <w:pStyle w:val="Normal"/>
        <w:widowControl/>
        <w:suppressAutoHyphens w:val="true"/>
        <w:ind w:firstLine="567"/>
        <w:rPr>
          <w:sz w:val="26"/>
          <w:szCs w:val="26"/>
          <w:lang w:val="en-US"/>
        </w:rPr>
      </w:pPr>
      <w:r>
        <w:rPr/>
      </w:r>
    </w:p>
    <w:sectPr>
      <w:type w:val="nextPage"/>
      <w:pgSz w:w="11906" w:h="16838"/>
      <w:pgMar w:left="1701" w:right="851" w:gutter="0" w:header="0" w:top="1021"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PANDA Baltic UZ">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upperRoman"/>
      <w:lvlText w:val="%1."/>
      <w:lvlJc w:val="left"/>
      <w:pPr>
        <w:tabs>
          <w:tab w:val="num" w:pos="0"/>
        </w:tabs>
        <w:ind w:left="1080" w:hanging="7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32"/>
      <w:lang w:val="en-US"/>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8"/>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sz w:val="26"/>
      <w:lang w:val="en-US"/>
    </w:rPr>
  </w:style>
  <w:style w:type="paragraph" w:styleId="Heading4">
    <w:name w:val="Heading 4"/>
    <w:basedOn w:val="Normal"/>
    <w:next w:val="Normal"/>
    <w:qFormat/>
    <w:pPr>
      <w:keepNext w:val="true"/>
      <w:numPr>
        <w:ilvl w:val="3"/>
        <w:numId w:val="1"/>
      </w:numPr>
      <w:spacing w:before="240" w:after="60"/>
      <w:outlineLvl w:val="3"/>
    </w:pPr>
    <w:rPr>
      <w:b/>
      <w:sz w:val="28"/>
      <w:lang w:val="en-US"/>
    </w:rPr>
  </w:style>
  <w:style w:type="paragraph" w:styleId="Heading5">
    <w:name w:val="Heading 5"/>
    <w:basedOn w:val="Normal"/>
    <w:next w:val="Normal"/>
    <w:qFormat/>
    <w:pPr>
      <w:numPr>
        <w:ilvl w:val="4"/>
        <w:numId w:val="1"/>
      </w:numPr>
      <w:spacing w:before="240" w:after="60"/>
      <w:outlineLvl w:val="4"/>
    </w:pPr>
    <w:rPr>
      <w:b/>
      <w:i/>
      <w:sz w:val="26"/>
      <w:lang w:val="en-US"/>
    </w:rPr>
  </w:style>
  <w:style w:type="paragraph" w:styleId="Heading6">
    <w:name w:val="Heading 6"/>
    <w:basedOn w:val="Normal"/>
    <w:next w:val="Normal"/>
    <w:qFormat/>
    <w:pPr>
      <w:widowControl/>
      <w:numPr>
        <w:ilvl w:val="5"/>
        <w:numId w:val="1"/>
      </w:numPr>
      <w:spacing w:before="240" w:after="60"/>
      <w:outlineLvl w:val="5"/>
    </w:pPr>
    <w:rPr>
      <w:b/>
      <w:sz w:val="22"/>
      <w:lang w:val="en-US"/>
    </w:rPr>
  </w:style>
  <w:style w:type="paragraph" w:styleId="Heading7">
    <w:name w:val="Heading 7"/>
    <w:basedOn w:val="Normal"/>
    <w:next w:val="Normal"/>
    <w:qFormat/>
    <w:pPr>
      <w:keepNext w:val="true"/>
      <w:widowControl/>
      <w:numPr>
        <w:ilvl w:val="6"/>
        <w:numId w:val="1"/>
      </w:numPr>
      <w:overflowPunct w:val="true"/>
      <w:textAlignment w:val="baseline"/>
      <w:outlineLvl w:val="6"/>
    </w:pPr>
    <w:rPr>
      <w:b/>
      <w:lang w:val="en-US"/>
    </w:rPr>
  </w:style>
  <w:style w:type="paragraph" w:styleId="Heading8">
    <w:name w:val="Heading 8"/>
    <w:basedOn w:val="Normal"/>
    <w:next w:val="Normal"/>
    <w:qFormat/>
    <w:pPr>
      <w:widowControl/>
      <w:numPr>
        <w:ilvl w:val="7"/>
        <w:numId w:val="1"/>
      </w:numPr>
      <w:spacing w:before="240" w:after="60"/>
      <w:outlineLvl w:val="7"/>
    </w:pPr>
    <w:rPr>
      <w:i/>
      <w:sz w:val="24"/>
      <w:lang w:val="en-US"/>
    </w:rPr>
  </w:style>
  <w:style w:type="paragraph" w:styleId="Heading9">
    <w:name w:val="Heading 9"/>
    <w:basedOn w:val="Normal"/>
    <w:next w:val="Normal"/>
    <w:qFormat/>
    <w:pPr>
      <w:widowControl/>
      <w:numPr>
        <w:ilvl w:val="8"/>
        <w:numId w:val="1"/>
      </w:numPr>
      <w:spacing w:before="240" w:after="60"/>
      <w:outlineLvl w:val="8"/>
    </w:pPr>
    <w:rPr>
      <w:rFonts w:ascii="Arial" w:hAnsi="Arial" w:cs="Arial"/>
      <w:sz w:val="22"/>
      <w:lang w:val="en-US"/>
    </w:rPr>
  </w:style>
  <w:style w:type="character" w:styleId="WW8Num1z0">
    <w:name w:val="WW8Num1z0"/>
    <w:qFormat/>
    <w:rPr>
      <w:sz w:val="22"/>
    </w:rPr>
  </w:style>
  <w:style w:type="character" w:styleId="WW8Num2z0">
    <w:name w:val="WW8Num2z0"/>
    <w:qFormat/>
    <w:rPr/>
  </w:style>
  <w:style w:type="character" w:styleId="WW8Num3z0">
    <w:name w:val="WW8Num3z0"/>
    <w:qFormat/>
    <w:rPr>
      <w:rFonts w:ascii="Symbol" w:hAnsi="Symbol"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cs="Times New Roman"/>
    </w:rPr>
  </w:style>
  <w:style w:type="character" w:styleId="WW8Num5z0">
    <w:name w:val="WW8Num5z0"/>
    <w:qFormat/>
    <w:rPr>
      <w:lang w:val="ru-RU" w:bidi="ar-SA"/>
    </w:rPr>
  </w:style>
  <w:style w:type="character" w:styleId="WW8Num5z1">
    <w:name w:val="WW8Num5z1"/>
    <w:qFormat/>
    <w:rPr>
      <w:rFonts w:ascii="Times New Roman" w:hAnsi="Times New Roman" w:eastAsia="Times New Roman" w:cs="Times New Roman"/>
      <w:b w:val="false"/>
      <w:bCs w:val="false"/>
      <w:i w:val="false"/>
      <w:iCs w:val="false"/>
      <w:spacing w:val="0"/>
      <w:w w:val="99"/>
      <w:sz w:val="20"/>
      <w:szCs w:val="20"/>
      <w:lang w:val="ru-RU" w:bidi="ar-SA"/>
    </w:rPr>
  </w:style>
  <w:style w:type="character" w:styleId="WW8Num6z0">
    <w:name w:val="WW8Num6z0"/>
    <w:qFormat/>
    <w:rPr/>
  </w:style>
  <w:style w:type="character" w:styleId="WW8Num7z0">
    <w:name w:val="WW8Num7z0"/>
    <w:qFormat/>
    <w:rPr>
      <w:sz w:val="22"/>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b/>
    </w:rPr>
  </w:style>
  <w:style w:type="character" w:styleId="WW8Num13z1">
    <w:name w:val="WW8Num13z1"/>
    <w:qFormat/>
    <w:rPr/>
  </w:style>
  <w:style w:type="character" w:styleId="WW8Num14z0">
    <w:name w:val="WW8Num14z0"/>
    <w:qFormat/>
    <w:rPr>
      <w:rFonts w:cs="Times New Roman"/>
    </w:rPr>
  </w:style>
  <w:style w:type="character" w:styleId="WW8Num14z1">
    <w:name w:val="WW8Num14z1"/>
    <w:qFormat/>
    <w:rPr>
      <w:rFonts w:cs="Times New Roman"/>
      <w:color w:val="000000"/>
    </w:rPr>
  </w:style>
  <w:style w:type="character" w:styleId="WW8Num15z0">
    <w:name w:val="WW8Num15z0"/>
    <w:qFormat/>
    <w:rPr/>
  </w:style>
  <w:style w:type="character" w:styleId="WW8Num16z0">
    <w:name w:val="WW8Num16z0"/>
    <w:qFormat/>
    <w:rPr>
      <w:rFonts w:cs="Times New Roman"/>
    </w:rPr>
  </w:style>
  <w:style w:type="character" w:styleId="WW8Num16z1">
    <w:name w:val="WW8Num16z1"/>
    <w:qFormat/>
    <w:rPr>
      <w:rFonts w:cs="Times New Roman"/>
    </w:rPr>
  </w:style>
  <w:style w:type="character" w:styleId="WW8Num17z0">
    <w:name w:val="WW8Num17z0"/>
    <w:qFormat/>
    <w:rPr/>
  </w:style>
  <w:style w:type="character" w:styleId="Style5">
    <w:name w:val="Основной шрифт абзаца"/>
    <w:qFormat/>
    <w:rPr/>
  </w:style>
  <w:style w:type="character" w:styleId="Style6">
    <w:name w:val="Руководитель Знак"/>
    <w:qFormat/>
    <w:rPr>
      <w:rFonts w:ascii="Times New Roman" w:hAnsi="Times New Roman" w:cs="Times New Roman"/>
      <w:b/>
      <w:sz w:val="24"/>
    </w:rPr>
  </w:style>
  <w:style w:type="character" w:styleId="ListParagraphChar">
    <w:name w:val="List Paragraph Char"/>
    <w:qFormat/>
    <w:rPr>
      <w:sz w:val="22"/>
    </w:rPr>
  </w:style>
  <w:style w:type="character" w:styleId="1">
    <w:name w:val="Заголовок 1 Знак"/>
    <w:qFormat/>
    <w:rPr>
      <w:rFonts w:ascii="Arial" w:hAnsi="Arial" w:cs="Arial"/>
      <w:b/>
      <w:kern w:val="2"/>
      <w:sz w:val="32"/>
      <w:lang w:val="en-US"/>
    </w:rPr>
  </w:style>
  <w:style w:type="character" w:styleId="2">
    <w:name w:val="Заголовок 2 Знак"/>
    <w:qFormat/>
    <w:rPr>
      <w:rFonts w:ascii="Times New Roman" w:hAnsi="Times New Roman" w:cs="Times New Roman"/>
      <w:b/>
      <w:sz w:val="36"/>
    </w:rPr>
  </w:style>
  <w:style w:type="character" w:styleId="3">
    <w:name w:val="Заголовок 3 Знак"/>
    <w:qFormat/>
    <w:rPr>
      <w:rFonts w:ascii="Times New Roman" w:hAnsi="Times New Roman" w:cs="Times New Roman"/>
      <w:b/>
      <w:sz w:val="27"/>
    </w:rPr>
  </w:style>
  <w:style w:type="character" w:styleId="4">
    <w:name w:val="Заголовок 4 Знак"/>
    <w:qFormat/>
    <w:rPr>
      <w:b/>
      <w:sz w:val="28"/>
      <w:lang w:val="en-US"/>
    </w:rPr>
  </w:style>
  <w:style w:type="character" w:styleId="5">
    <w:name w:val="Заголовок 5 Знак"/>
    <w:qFormat/>
    <w:rPr>
      <w:b/>
      <w:i/>
      <w:sz w:val="26"/>
      <w:lang w:val="en-US"/>
    </w:rPr>
  </w:style>
  <w:style w:type="character" w:styleId="6">
    <w:name w:val="Заголовок 6 Знак"/>
    <w:qFormat/>
    <w:rPr>
      <w:b/>
      <w:sz w:val="22"/>
    </w:rPr>
  </w:style>
  <w:style w:type="character" w:styleId="7">
    <w:name w:val="Заголовок 7 Знак"/>
    <w:qFormat/>
    <w:rPr>
      <w:b/>
    </w:rPr>
  </w:style>
  <w:style w:type="character" w:styleId="8">
    <w:name w:val="Заголовок 8 Знак"/>
    <w:qFormat/>
    <w:rPr>
      <w:i/>
      <w:sz w:val="24"/>
    </w:rPr>
  </w:style>
  <w:style w:type="character" w:styleId="9">
    <w:name w:val="Заголовок 9 Знак"/>
    <w:qFormat/>
    <w:rPr>
      <w:rFonts w:ascii="Arial" w:hAnsi="Arial" w:cs="Arial"/>
      <w:sz w:val="22"/>
    </w:rPr>
  </w:style>
  <w:style w:type="character" w:styleId="21">
    <w:name w:val="Заголовок 2 Знак1"/>
    <w:qFormat/>
    <w:rPr>
      <w:rFonts w:ascii="Arial" w:hAnsi="Arial" w:cs="Arial"/>
      <w:b/>
      <w:i/>
      <w:sz w:val="28"/>
      <w:lang w:val="en-US"/>
    </w:rPr>
  </w:style>
  <w:style w:type="character" w:styleId="31">
    <w:name w:val="Заголовок 3 Знак1"/>
    <w:qFormat/>
    <w:rPr>
      <w:rFonts w:ascii="Arial" w:hAnsi="Arial" w:cs="Arial"/>
      <w:b/>
      <w:sz w:val="26"/>
      <w:lang w:val="en-US"/>
    </w:rPr>
  </w:style>
  <w:style w:type="character" w:styleId="22">
    <w:name w:val="Основной текст с отступом 2 Знак"/>
    <w:qFormat/>
    <w:rPr>
      <w:rFonts w:cs="Times New Roman"/>
      <w:sz w:val="24"/>
      <w:szCs w:val="24"/>
      <w:lang w:val="en-US"/>
    </w:rPr>
  </w:style>
  <w:style w:type="character" w:styleId="Style7">
    <w:name w:val="Текст выноски Знак"/>
    <w:qFormat/>
    <w:rPr>
      <w:rFonts w:ascii="Tahoma" w:hAnsi="Tahoma" w:cs="Tahoma"/>
      <w:sz w:val="16"/>
      <w:szCs w:val="16"/>
      <w:lang w:val="en-US"/>
    </w:rPr>
  </w:style>
  <w:style w:type="character" w:styleId="Style8">
    <w:name w:val="Основной текст с отступом Знак"/>
    <w:qFormat/>
    <w:rPr>
      <w:rFonts w:cs="Times New Roman"/>
      <w:sz w:val="24"/>
      <w:szCs w:val="24"/>
      <w:lang w:val="en-US"/>
    </w:rPr>
  </w:style>
  <w:style w:type="character" w:styleId="Style9">
    <w:name w:val="Знак примечания"/>
    <w:qFormat/>
    <w:rPr>
      <w:sz w:val="16"/>
      <w:szCs w:val="16"/>
    </w:rPr>
  </w:style>
  <w:style w:type="character" w:styleId="Style10">
    <w:name w:val="Текст примечания Знак"/>
    <w:basedOn w:val="Style5"/>
    <w:qFormat/>
    <w:rPr/>
  </w:style>
  <w:style w:type="character" w:styleId="Style11">
    <w:name w:val="Тема примечания Знак"/>
    <w:qFormat/>
    <w:rPr>
      <w:b/>
      <w:bCs/>
    </w:rPr>
  </w:style>
  <w:style w:type="character" w:styleId="23">
    <w:name w:val="Основной текст (2)"/>
    <w:qFormat/>
    <w:rPr>
      <w:rFonts w:ascii="Times New Roman" w:hAnsi="Times New Roman" w:eastAsia="Times New Roman" w:cs="Times New Roman"/>
      <w:b w:val="false"/>
      <w:bCs w:val="false"/>
      <w:i w:val="false"/>
      <w:iCs w:val="false"/>
      <w:caps w:val="false"/>
      <w:smallCaps w:val="false"/>
      <w:strike w:val="false"/>
      <w:dstrike w:val="false"/>
      <w:color w:val="000000"/>
      <w:spacing w:val="0"/>
      <w:w w:val="100"/>
      <w:position w:val="0"/>
      <w:sz w:val="28"/>
      <w:sz w:val="28"/>
      <w:szCs w:val="28"/>
      <w:u w:val="single"/>
      <w:vertAlign w:val="baseline"/>
      <w:lang w:val="ru-RU" w:bidi="ru-RU"/>
    </w:rPr>
  </w:style>
  <w:style w:type="character" w:styleId="24">
    <w:name w:val="Основной текст (2) + Полужирный"/>
    <w:qFormat/>
    <w:rPr>
      <w:rFonts w:ascii="Times New Roman" w:hAnsi="Times New Roman" w:eastAsia="Times New Roman" w:cs="Times New Roman"/>
      <w:b/>
      <w:bCs/>
      <w:i w:val="false"/>
      <w:iCs w:val="false"/>
      <w:caps w:val="false"/>
      <w:smallCaps w:val="false"/>
      <w:strike w:val="false"/>
      <w:dstrike w:val="false"/>
      <w:color w:val="000000"/>
      <w:spacing w:val="0"/>
      <w:w w:val="100"/>
      <w:position w:val="0"/>
      <w:sz w:val="28"/>
      <w:sz w:val="28"/>
      <w:szCs w:val="28"/>
      <w:u w:val="none"/>
      <w:vertAlign w:val="baseline"/>
      <w:lang w:val="ru-RU" w:bidi="ru-RU"/>
    </w:rPr>
  </w:style>
  <w:style w:type="character" w:styleId="32">
    <w:name w:val="Основной текст 3 Знак"/>
    <w:qFormat/>
    <w:rPr>
      <w:sz w:val="16"/>
      <w:szCs w:val="16"/>
    </w:rPr>
  </w:style>
  <w:style w:type="character" w:styleId="25">
    <w:name w:val="Основной текст 2 Знак"/>
    <w:basedOn w:val="Style5"/>
    <w:qFormat/>
    <w:rPr/>
  </w:style>
  <w:style w:type="character" w:styleId="Style12">
    <w:name w:val="Название Знак"/>
    <w:qFormat/>
    <w:rPr>
      <w:rFonts w:ascii="Times New Roman" w:hAnsi="Times New Roman" w:eastAsia="Times New Roman" w:cs="Times New Roman"/>
      <w:b/>
      <w:sz w:val="28"/>
      <w:szCs w:val="20"/>
      <w:lang w:val="ru-RU"/>
    </w:rPr>
  </w:style>
  <w:style w:type="character" w:styleId="Style13">
    <w:name w:val="Основной текст Знак"/>
    <w:basedOn w:val="Style5"/>
    <w:qFormat/>
    <w:rPr/>
  </w:style>
  <w:style w:type="character" w:styleId="InternetLink">
    <w:name w:val="Hyper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tyle14">
    <w:name w:val="Рисунок"/>
    <w:basedOn w:val="Normal"/>
    <w:qFormat/>
    <w:pPr>
      <w:keepNext w:val="true"/>
      <w:spacing w:before="280" w:after="280"/>
      <w:jc w:val="center"/>
    </w:pPr>
    <w:rPr/>
  </w:style>
  <w:style w:type="paragraph" w:styleId="Style15">
    <w:name w:val="Руководитель"/>
    <w:basedOn w:val="Normal"/>
    <w:qFormat/>
    <w:pPr>
      <w:tabs>
        <w:tab w:val="clear" w:pos="708"/>
        <w:tab w:val="left" w:pos="6804" w:leader="none"/>
      </w:tabs>
    </w:pPr>
    <w:rPr>
      <w:b/>
      <w:sz w:val="24"/>
      <w:lang w:val="en-US"/>
    </w:rPr>
  </w:style>
  <w:style w:type="paragraph" w:styleId="11">
    <w:name w:val="Рисунок - номер и название 1 строка"/>
    <w:basedOn w:val="Normal"/>
    <w:qFormat/>
    <w:pPr>
      <w:spacing w:before="280" w:after="280"/>
      <w:jc w:val="center"/>
    </w:pPr>
    <w:rPr/>
  </w:style>
  <w:style w:type="paragraph" w:styleId="26">
    <w:name w:val="Рисунок - номер и название более 2х строк"/>
    <w:basedOn w:val="11"/>
    <w:qFormat/>
    <w:pPr>
      <w:tabs>
        <w:tab w:val="clear" w:pos="708"/>
        <w:tab w:val="left" w:pos="2127" w:leader="none"/>
        <w:tab w:val="left" w:pos="2410" w:leader="none"/>
      </w:tabs>
      <w:ind w:left="2410" w:hanging="1701"/>
      <w:jc w:val="left"/>
    </w:pPr>
    <w:rPr/>
  </w:style>
  <w:style w:type="paragraph" w:styleId="12">
    <w:name w:val="Абзац списка1"/>
    <w:basedOn w:val="Normal"/>
    <w:qFormat/>
    <w:pPr>
      <w:spacing w:lineRule="auto" w:line="252" w:before="0" w:after="160"/>
      <w:ind w:left="720" w:hanging="0"/>
      <w:contextualSpacing/>
    </w:pPr>
    <w:rPr>
      <w:sz w:val="22"/>
      <w:lang w:val="en-US"/>
    </w:rPr>
  </w:style>
  <w:style w:type="paragraph" w:styleId="27">
    <w:name w:val="Абзац списка2"/>
    <w:basedOn w:val="Normal"/>
    <w:qFormat/>
    <w:pPr>
      <w:spacing w:lineRule="auto" w:line="252" w:before="0" w:after="160"/>
      <w:ind w:left="720" w:hanging="0"/>
      <w:contextualSpacing/>
    </w:pPr>
    <w:rPr>
      <w:rFonts w:ascii="Calibri" w:hAnsi="Calibri" w:cs="Calibri"/>
      <w:sz w:val="22"/>
      <w:szCs w:val="22"/>
    </w:rPr>
  </w:style>
  <w:style w:type="paragraph" w:styleId="ListParagraph">
    <w:name w:val="List Paragraph"/>
    <w:basedOn w:val="Normal"/>
    <w:qFormat/>
    <w:pPr>
      <w:ind w:left="708" w:hanging="0"/>
    </w:pPr>
    <w:rPr/>
  </w:style>
  <w:style w:type="paragraph" w:styleId="IndexHeading">
    <w:name w:val="Index Heading"/>
    <w:basedOn w:val="Heading"/>
    <w:pPr/>
    <w:rPr/>
  </w:style>
  <w:style w:type="paragraph" w:styleId="ContentsHeading">
    <w:name w:val="TOC Heading"/>
    <w:basedOn w:val="Heading1"/>
    <w:next w:val="Normal"/>
    <w:qFormat/>
    <w:pPr>
      <w:numPr>
        <w:ilvl w:val="0"/>
        <w:numId w:val="0"/>
      </w:numPr>
      <w:outlineLvl w:val="9"/>
    </w:pPr>
    <w:rPr>
      <w:rFonts w:ascii="Cambria" w:hAnsi="Cambria" w:cs="Cambria"/>
    </w:rPr>
  </w:style>
  <w:style w:type="paragraph" w:styleId="28">
    <w:name w:val="Основной текст с отступом 2"/>
    <w:basedOn w:val="Normal"/>
    <w:qFormat/>
    <w:pPr>
      <w:widowControl/>
      <w:spacing w:lineRule="auto" w:line="480" w:before="0" w:after="120"/>
      <w:ind w:left="283" w:hanging="0"/>
    </w:pPr>
    <w:rPr>
      <w:sz w:val="24"/>
      <w:szCs w:val="24"/>
      <w:lang w:val="en-US"/>
    </w:rPr>
  </w:style>
  <w:style w:type="paragraph" w:styleId="DefaultText">
    <w:name w:val="Default Text"/>
    <w:qFormat/>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en-US" w:eastAsia="zh-CN" w:bidi="ar-SA"/>
    </w:rPr>
  </w:style>
  <w:style w:type="paragraph" w:styleId="Style16">
    <w:name w:val="Текст выноски"/>
    <w:basedOn w:val="Normal"/>
    <w:qFormat/>
    <w:pPr/>
    <w:rPr>
      <w:rFonts w:ascii="Tahoma" w:hAnsi="Tahoma" w:cs="Tahoma"/>
      <w:sz w:val="16"/>
      <w:szCs w:val="16"/>
      <w:lang w:val="en-US"/>
    </w:rPr>
  </w:style>
  <w:style w:type="paragraph" w:styleId="TextBodyIndent">
    <w:name w:val="Body Text Indent"/>
    <w:basedOn w:val="Normal"/>
    <w:pPr>
      <w:ind w:firstLine="567"/>
      <w:jc w:val="both"/>
    </w:pPr>
    <w:rPr>
      <w:sz w:val="24"/>
      <w:szCs w:val="24"/>
      <w:lang w:val="en-US"/>
    </w:rPr>
  </w:style>
  <w:style w:type="paragraph" w:styleId="Revision">
    <w:name w:val="Revision"/>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Style17">
    <w:name w:val="Текст примечания"/>
    <w:basedOn w:val="Normal"/>
    <w:qFormat/>
    <w:pPr/>
    <w:rPr/>
  </w:style>
  <w:style w:type="paragraph" w:styleId="Style18">
    <w:name w:val="Тема примечания"/>
    <w:basedOn w:val="Style17"/>
    <w:next w:val="Style17"/>
    <w:qFormat/>
    <w:pPr/>
    <w:rPr>
      <w:b/>
      <w:bCs/>
      <w:lang w:val="en-US"/>
    </w:rPr>
  </w:style>
  <w:style w:type="paragraph" w:styleId="Style19">
    <w:name w:val="Без интервала"/>
    <w:qFormat/>
    <w:pPr>
      <w:widowControl/>
      <w:suppressAutoHyphens w:val="true"/>
      <w:bidi w:val="0"/>
      <w:spacing w:before="0" w:after="0"/>
      <w:ind w:firstLine="567"/>
      <w:jc w:val="both"/>
    </w:pPr>
    <w:rPr>
      <w:rFonts w:ascii="PANDA Baltic UZ;Times New Roman" w:hAnsi="PANDA Baltic UZ;Times New Roman" w:eastAsia="Times New Roman" w:cs="PANDA Baltic UZ;Times New Roman"/>
      <w:color w:val="auto"/>
      <w:kern w:val="0"/>
      <w:sz w:val="24"/>
      <w:szCs w:val="24"/>
      <w:lang w:val="ru-RU" w:eastAsia="zh-CN" w:bidi="ar-SA"/>
    </w:rPr>
  </w:style>
  <w:style w:type="paragraph" w:styleId="33">
    <w:name w:val="Основной текст 3"/>
    <w:basedOn w:val="Normal"/>
    <w:qFormat/>
    <w:pPr>
      <w:spacing w:before="0" w:after="120"/>
    </w:pPr>
    <w:rPr>
      <w:sz w:val="16"/>
      <w:szCs w:val="16"/>
    </w:rPr>
  </w:style>
  <w:style w:type="paragraph" w:styleId="29">
    <w:name w:val="Основной текст 2"/>
    <w:basedOn w:val="Normal"/>
    <w:qFormat/>
    <w:pPr>
      <w:spacing w:lineRule="auto" w:line="480" w:before="0" w:after="120"/>
    </w:pPr>
    <w:rPr/>
  </w:style>
  <w:style w:type="paragraph" w:styleId="13">
    <w:name w:val="заголовок 1"/>
    <w:basedOn w:val="Normal"/>
    <w:next w:val="Normal"/>
    <w:qFormat/>
    <w:pPr>
      <w:keepNext w:val="true"/>
      <w:widowControl/>
      <w:ind w:firstLine="720"/>
      <w:jc w:val="center"/>
    </w:pPr>
    <w:rPr>
      <w:sz w:val="24"/>
    </w:rPr>
  </w:style>
  <w:style w:type="paragraph" w:styleId="Style20">
    <w:name w:val="Абзац списка"/>
    <w:basedOn w:val="Normal"/>
    <w:qFormat/>
    <w:pPr>
      <w:ind w:left="682" w:hanging="0"/>
      <w:jc w:val="both"/>
    </w:pPr>
    <w:rPr>
      <w:sz w:val="22"/>
      <w:szCs w:val="22"/>
    </w:rPr>
  </w:style>
  <w:style w:type="paragraph" w:styleId="Body">
    <w:name w:val="Body"/>
    <w:basedOn w:val="Normal"/>
    <w:qFormat/>
    <w:pPr>
      <w:suppressAutoHyphens w:val="true"/>
      <w:spacing w:lineRule="atLeast" w:line="100"/>
      <w:jc w:val="both"/>
    </w:pPr>
    <w:rPr>
      <w:szCs w:val="24"/>
    </w:rPr>
  </w:style>
  <w:style w:type="paragraph" w:styleId="TableParagraph">
    <w:name w:val="Table Paragraph"/>
    <w:basedOn w:val="Normal"/>
    <w:qFormat/>
    <w:pPr/>
    <w:rPr>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9987120807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502</TotalTime>
  <Application>LibreOffice/7.4.1.2$Linux_X86_64 LibreOffice_project/40$Build-2</Application>
  <AppVersion>15.0000</AppVersion>
  <Pages>8</Pages>
  <Words>2654</Words>
  <Characters>20435</Characters>
  <CharactersWithSpaces>22964</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2022-05-16T17:54:00Z</dcterms:created>
  <dc:creator>Win7</dc:creator>
  <dc:description/>
  <dc:language>en-US</dc:language>
  <cp:lastModifiedBy/>
  <cp:lastPrinted>2018-12-05T08:20:00Z</cp:lastPrinted>
  <dcterms:modified xsi:type="dcterms:W3CDTF">2022-10-26T10:00:44Z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file>