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32"/>
        </w:rPr>
        <w:t>CANARA VAHAN LOAN SCHEME</w:t>
      </w:r>
    </w:p>
    <w:p>
      <w:pPr>
        <w:jc w:val="center"/>
      </w:pPr>
      <w:r>
        <w:rPr>
          <w:sz w:val="24"/>
        </w:rPr>
        <w:t>Rs. 7,14,000 | 7 Years | 9.50% ROI</w:t>
      </w:r>
    </w:p>
    <w:p/>
    <w:p>
      <w:pPr>
        <w:pStyle w:val="Heading2"/>
      </w:pPr>
      <w:r>
        <w:t>BORROWER DETAILS</w:t>
      </w:r>
    </w:p>
    <w:p>
      <w:r>
        <w:t>Borrower Name: M/S. MALUSARE ENTERPRISES</w:t>
      </w:r>
    </w:p>
    <w:p>
      <w:r>
        <w:t>Proprietor: Mrs. Shila Kishor Malusare</w:t>
      </w:r>
    </w:p>
    <w:p>
      <w:r>
        <w:t>Business Type: Transport/Automobile (Canara Vahan Scheme)</w:t>
      </w:r>
    </w:p>
    <w:p>
      <w:r>
        <w:t>Location: Mumbai, Maharashtra</w:t>
      </w:r>
    </w:p>
    <w:p/>
    <w:p>
      <w:pPr>
        <w:pStyle w:val="Heading2"/>
      </w:pPr>
      <w:r>
        <w:t>LOAN PARTICULARS</w:t>
      </w:r>
    </w:p>
    <w:p>
      <w:r>
        <w:t>Loan Amount: Rs. 7,14,000 (Seven Lakh Fourteen Thousand)</w:t>
      </w:r>
    </w:p>
    <w:p>
      <w:r>
        <w:t>Loan Tenure: 7 Years (84 Months)</w:t>
      </w:r>
    </w:p>
    <w:p>
      <w:r>
        <w:t>Rate of Interest: 9.50% p.a. (Fixed)</w:t>
      </w:r>
    </w:p>
    <w:p>
      <w:r>
        <w:t>Monthly EMI: Rs. 12,844</w:t>
      </w:r>
    </w:p>
    <w:p>
      <w:r>
        <w:t>Purpose: Vehicle/Equipment Purchase for transport business</w:t>
      </w:r>
    </w:p>
    <w:p/>
    <w:p>
      <w:pPr>
        <w:jc w:val="center"/>
      </w:pPr>
      <w:r>
        <w:t>Date of Report: August 05, 2026</w:t>
      </w:r>
    </w:p>
    <w:p>
      <w:r>
        <w:br w:type="page"/>
      </w:r>
    </w:p>
    <w:p>
      <w:pPr>
        <w:pStyle w:val="Heading1"/>
      </w:pPr>
      <w:r>
        <w:t>EXECUTIVE SUMMARY</w:t>
      </w:r>
    </w:p>
    <w:p>
      <w:pPr>
        <w:pStyle w:val="Heading2"/>
      </w:pPr>
      <w:r>
        <w:t>Overview</w:t>
      </w:r>
    </w:p>
    <w:p>
      <w:r>
        <w:t>M/S. Malusare Enterprises, a transport business entity operating in Mumbai, has applied for a loan of Rs. 7,14,000 under the Canara Vahan scheme for vehicle/equipment purchase. The loan is proposed for a tenure of 7 years at 9.50% per annum, resulting in a monthly EMI of Rs. 12,844.</w:t>
      </w:r>
    </w:p>
    <w:p>
      <w:pPr>
        <w:pStyle w:val="Heading2"/>
      </w:pPr>
      <w:r>
        <w:t>Credit Recommendation</w:t>
      </w:r>
    </w:p>
    <w:p>
      <w:r>
        <w:rPr>
          <w:b/>
          <w:color w:val="0070C0"/>
        </w:rPr>
        <w:t>CREDIT RATING: A+ (EXCELLENT CREDIT QUALITY)</w:t>
      </w:r>
    </w:p>
    <w:p>
      <w:r>
        <w:rPr>
          <w:b/>
          <w:color w:val="00B050"/>
        </w:rPr>
        <w:t>RECOMMENDATION: ✓ APPROVED</w:t>
      </w:r>
    </w:p>
    <w:p>
      <w:pPr>
        <w:pStyle w:val="Heading2"/>
      </w:pPr>
      <w:r>
        <w:t>Key Financial Metrics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Value</w:t>
            </w:r>
          </w:p>
        </w:tc>
        <w:tc>
          <w:tcPr>
            <w:tcW w:type="dxa" w:w="3360"/>
          </w:tcPr>
          <w:p>
            <w:r>
              <w:t>Status</w:t>
            </w:r>
          </w:p>
        </w:tc>
      </w:tr>
      <w:tr>
        <w:tc>
          <w:tcPr>
            <w:tcW w:type="dxa" w:w="3360"/>
          </w:tcPr>
          <w:p>
            <w:r>
              <w:t>DSCR</w:t>
            </w:r>
          </w:p>
        </w:tc>
        <w:tc>
          <w:tcPr>
            <w:tcW w:type="dxa" w:w="3360"/>
          </w:tcPr>
          <w:p>
            <w:r>
              <w:t>109.5x</w:t>
            </w:r>
          </w:p>
        </w:tc>
        <w:tc>
          <w:tcPr>
            <w:tcW w:type="dxa" w:w="3360"/>
          </w:tcPr>
          <w:p>
            <w:r>
              <w:t>✓ EXCEPTIONAL</w:t>
            </w:r>
          </w:p>
        </w:tc>
      </w:tr>
      <w:tr>
        <w:tc>
          <w:tcPr>
            <w:tcW w:type="dxa" w:w="3360"/>
          </w:tcPr>
          <w:p>
            <w:r>
              <w:t>Interest Coverage</w:t>
            </w:r>
          </w:p>
        </w:tc>
        <w:tc>
          <w:tcPr>
            <w:tcW w:type="dxa" w:w="3360"/>
          </w:tcPr>
          <w:p>
            <w:r>
              <w:t>2,371x</w:t>
            </w:r>
          </w:p>
        </w:tc>
        <w:tc>
          <w:tcPr>
            <w:tcW w:type="dxa" w:w="3360"/>
          </w:tcPr>
          <w:p>
            <w:r>
              <w:t>✓ EXCEPTIONAL</w:t>
            </w:r>
          </w:p>
        </w:tc>
      </w:tr>
      <w:tr>
        <w:tc>
          <w:tcPr>
            <w:tcW w:type="dxa" w:w="3360"/>
          </w:tcPr>
          <w:p>
            <w:r>
              <w:t>LTV Ratio</w:t>
            </w:r>
          </w:p>
        </w:tc>
        <w:tc>
          <w:tcPr>
            <w:tcW w:type="dxa" w:w="3360"/>
          </w:tcPr>
          <w:p>
            <w:r>
              <w:t>1.43%</w:t>
            </w:r>
          </w:p>
        </w:tc>
        <w:tc>
          <w:tcPr>
            <w:tcW w:type="dxa" w:w="3360"/>
          </w:tcPr>
          <w:p>
            <w:r>
              <w:t>✓ EXCELLENT</w:t>
            </w:r>
          </w:p>
        </w:tc>
      </w:tr>
      <w:tr>
        <w:tc>
          <w:tcPr>
            <w:tcW w:type="dxa" w:w="3360"/>
          </w:tcPr>
          <w:p>
            <w:r>
              <w:t>EBITDA Margin</w:t>
            </w:r>
          </w:p>
        </w:tc>
        <w:tc>
          <w:tcPr>
            <w:tcW w:type="dxa" w:w="3360"/>
          </w:tcPr>
          <w:p>
            <w:r>
              <w:t>30%</w:t>
            </w:r>
          </w:p>
        </w:tc>
        <w:tc>
          <w:tcPr>
            <w:tcW w:type="dxa" w:w="3360"/>
          </w:tcPr>
          <w:p>
            <w:r>
              <w:t>✓ ABOVE AVERAGE</w:t>
            </w:r>
          </w:p>
        </w:tc>
      </w:tr>
    </w:tbl>
    <w:p/>
    <w:p>
      <w:pPr>
        <w:pStyle w:val="Heading2"/>
      </w:pPr>
      <w:r>
        <w:t>Key Findings</w:t>
      </w:r>
    </w:p>
    <w:p>
      <w:pPr>
        <w:pStyle w:val="ListBullet"/>
      </w:pPr>
      <w:r>
        <w:t>Exceptional Debt Service Coverage Ratio (DSCR) of 109.5x - far exceeds 1.50x minimum requirement</w:t>
      </w:r>
    </w:p>
    <w:p>
      <w:pPr>
        <w:pStyle w:val="ListBullet"/>
      </w:pPr>
      <w:r>
        <w:t>Strong interest coverage ratio of 2,371x demonstrates exceptional profitability</w:t>
      </w:r>
    </w:p>
    <w:p>
      <w:pPr>
        <w:pStyle w:val="ListBullet"/>
      </w:pPr>
      <w:r>
        <w:t>Low loan-to-value ratio of 1.43% shows conservative borrowing</w:t>
      </w:r>
    </w:p>
    <w:p>
      <w:pPr>
        <w:pStyle w:val="ListBullet"/>
      </w:pPr>
      <w:r>
        <w:t>Annual EMI obligation of only Rs. 1,54,128 versus annual EBITDA of Rs. 1,50+ crore</w:t>
      </w:r>
    </w:p>
    <w:p>
      <w:pPr>
        <w:pStyle w:val="ListBullet"/>
      </w:pPr>
      <w:r>
        <w:t>Conservative 12-13% annual growth assumption aligns with transport sector potential</w:t>
      </w:r>
    </w:p>
    <w:p>
      <w:pPr>
        <w:pStyle w:val="ListBullet"/>
      </w:pPr>
      <w:r>
        <w:t>Substantial buffer to absorb adverse business conditions and market shocks</w:t>
      </w:r>
    </w:p>
    <w:p>
      <w:pPr>
        <w:pStyle w:val="Heading2"/>
      </w:pPr>
      <w:r>
        <w:t>Approval Conditions</w:t>
      </w:r>
    </w:p>
    <w:p>
      <w:r>
        <w:t>1. Verification of financial data from audited statements and ITR documents</w:t>
      </w:r>
    </w:p>
    <w:p>
      <w:r>
        <w:t>2. Satisfactory collateral security - Vehicle hypothecation</w:t>
      </w:r>
    </w:p>
    <w:p>
      <w:r>
        <w:t>3. Personal guarantee from proprietor (Mrs. Shila Kishor Malusare)</w:t>
      </w:r>
    </w:p>
    <w:p>
      <w:r>
        <w:t>4. Comprehensive insurance coverage in bank's favor</w:t>
      </w:r>
    </w:p>
    <w:p>
      <w:r>
        <w:t>5. Quarterly covenant monitoring and financial statement submission</w:t>
      </w:r>
    </w:p>
    <w:p>
      <w:r>
        <w:br w:type="page"/>
      </w:r>
    </w:p>
    <w:p>
      <w:pPr>
        <w:pStyle w:val="Heading1"/>
      </w:pPr>
      <w:r>
        <w:t>COMPANY PROFILE &amp; BORROWER DETAILS</w:t>
      </w:r>
    </w:p>
    <w:p>
      <w:pPr>
        <w:pStyle w:val="Heading2"/>
      </w:pPr>
      <w:r>
        <w:t>Business Information</w:t>
      </w:r>
    </w:p>
    <w:tbl>
      <w:tblPr>
        <w:tblStyle w:val="LightGrid-Accent1"/>
        <w:tblW w:type="auto" w:w="0"/>
        <w:tblLook w:firstColumn="1" w:firstRow="1" w:lastColumn="0" w:lastRow="0" w:noHBand="0" w:noVBand="1" w:val="04A0"/>
      </w:tblPr>
      <w:tblGrid>
        <w:gridCol w:w="5040"/>
        <w:gridCol w:w="5040"/>
      </w:tblGrid>
      <w:tr>
        <w:tc>
          <w:tcPr>
            <w:tcW w:type="dxa" w:w="5040"/>
          </w:tcPr>
          <w:p>
            <w:r>
              <w:t>Business Name</w:t>
            </w:r>
          </w:p>
        </w:tc>
        <w:tc>
          <w:tcPr>
            <w:tcW w:type="dxa" w:w="5040"/>
          </w:tcPr>
          <w:p>
            <w:r>
              <w:t>M/S. Malusare Enterprises</w:t>
            </w:r>
          </w:p>
        </w:tc>
      </w:tr>
      <w:tr>
        <w:tc>
          <w:tcPr>
            <w:tcW w:type="dxa" w:w="5040"/>
          </w:tcPr>
          <w:p>
            <w:r>
              <w:t>Business Type</w:t>
            </w:r>
          </w:p>
        </w:tc>
        <w:tc>
          <w:tcPr>
            <w:tcW w:type="dxa" w:w="5040"/>
          </w:tcPr>
          <w:p>
            <w:r>
              <w:t>Transport/Automobile - Commercial Vehicles</w:t>
            </w:r>
          </w:p>
        </w:tc>
      </w:tr>
      <w:tr>
        <w:tc>
          <w:tcPr>
            <w:tcW w:type="dxa" w:w="5040"/>
          </w:tcPr>
          <w:p>
            <w:r>
              <w:t>Proprietor</w:t>
            </w:r>
          </w:p>
        </w:tc>
        <w:tc>
          <w:tcPr>
            <w:tcW w:type="dxa" w:w="5040"/>
          </w:tcPr>
          <w:p>
            <w:r>
              <w:t>Mrs. Shila Kishor Malusare</w:t>
            </w:r>
          </w:p>
        </w:tc>
      </w:tr>
      <w:tr>
        <w:tc>
          <w:tcPr>
            <w:tcW w:type="dxa" w:w="5040"/>
          </w:tcPr>
          <w:p>
            <w:r>
              <w:t>Location</w:t>
            </w:r>
          </w:p>
        </w:tc>
        <w:tc>
          <w:tcPr>
            <w:tcW w:type="dxa" w:w="5040"/>
          </w:tcPr>
          <w:p>
            <w:r>
              <w:t>Mumbai, Maharashtra</w:t>
            </w:r>
          </w:p>
        </w:tc>
      </w:tr>
      <w:tr>
        <w:tc>
          <w:tcPr>
            <w:tcW w:type="dxa" w:w="5040"/>
          </w:tcPr>
          <w:p>
            <w:r>
              <w:t>Scheme</w:t>
            </w:r>
          </w:p>
        </w:tc>
        <w:tc>
          <w:tcPr>
            <w:tcW w:type="dxa" w:w="5040"/>
          </w:tcPr>
          <w:p>
            <w:r>
              <w:t>Canara Vahan - Government-backed transport financing</w:t>
            </w:r>
          </w:p>
        </w:tc>
      </w:tr>
      <w:tr>
        <w:tc>
          <w:tcPr>
            <w:tcW w:type="dxa" w:w="5040"/>
          </w:tcPr>
          <w:p/>
        </w:tc>
        <w:tc>
          <w:tcPr>
            <w:tcW w:type="dxa" w:w="5040"/>
          </w:tcPr>
          <w:p/>
        </w:tc>
      </w:tr>
    </w:tbl>
    <w:p/>
    <w:p>
      <w:pPr>
        <w:pStyle w:val="Heading2"/>
      </w:pPr>
      <w:r>
        <w:t>Business Description</w:t>
      </w:r>
    </w:p>
    <w:p>
      <w:r>
        <w:t>M/S. Malusare Enterprises is engaged in transport operations, providing goods transportation services within Maharashtra. The business operates commercial vehicles for freight and logistics services. The company benefits from growing demand in the transport sector due to increased e-commerce and supply chain activities.</w:t>
      </w:r>
    </w:p>
    <w:p>
      <w:pPr>
        <w:pStyle w:val="Heading2"/>
      </w:pPr>
      <w:r>
        <w:t>Market Position</w:t>
      </w:r>
    </w:p>
    <w:p>
      <w:r>
        <w:t>The transport sector in India is experiencing robust growth post-COVID, with increased demand for logistics services. The sector CAGR is estimated at 12-15% annually. Local transport operators in Maharashtra are well-positioned to benefit from this growth due to proximity to major commercial hubs.</w:t>
      </w:r>
    </w:p>
    <w:p>
      <w:pPr>
        <w:pStyle w:val="Heading2"/>
      </w:pPr>
      <w:r>
        <w:t>Proposed Investment</w:t>
      </w:r>
    </w:p>
    <w:p>
      <w:r>
        <w:t>The loan of Rs. 7,14,000 will be utilized for purchase of a commercial vehicle/equipment to expand the fleet and operational capacity. This investment is expected to enhance revenue generation capability and improve overall operational efficiency.</w:t>
      </w:r>
    </w:p>
    <w:p>
      <w:r>
        <w:br w:type="page"/>
      </w:r>
    </w:p>
    <w:p>
      <w:pPr>
        <w:pStyle w:val="Heading1"/>
      </w:pPr>
      <w:r>
        <w:t>LOAN STRUCTURE &amp; TERMS</w:t>
      </w:r>
    </w:p>
    <w:p>
      <w:pPr>
        <w:pStyle w:val="Heading2"/>
      </w:pPr>
      <w:r>
        <w:t>Loan Features</w:t>
      </w:r>
    </w:p>
    <w:tbl>
      <w:tblPr>
        <w:tblStyle w:val="LightGrid-Accent1"/>
        <w:tblW w:type="auto" w:w="0"/>
        <w:tblLook w:firstColumn="1" w:firstRow="1" w:lastColumn="0" w:lastRow="0" w:noHBand="0" w:noVBand="1" w:val="04A0"/>
      </w:tblPr>
      <w:tblGrid>
        <w:gridCol w:w="5040"/>
        <w:gridCol w:w="5040"/>
      </w:tblGrid>
      <w:tr>
        <w:tc>
          <w:tcPr>
            <w:tcW w:type="dxa" w:w="5040"/>
          </w:tcPr>
          <w:p>
            <w:r>
              <w:t>Loan Amount</w:t>
            </w:r>
          </w:p>
        </w:tc>
        <w:tc>
          <w:tcPr>
            <w:tcW w:type="dxa" w:w="5040"/>
          </w:tcPr>
          <w:p>
            <w:r>
              <w:t>Rs. 7,14,000</w:t>
            </w:r>
          </w:p>
        </w:tc>
      </w:tr>
      <w:tr>
        <w:tc>
          <w:tcPr>
            <w:tcW w:type="dxa" w:w="5040"/>
          </w:tcPr>
          <w:p>
            <w:r>
              <w:t>Tenure</w:t>
            </w:r>
          </w:p>
        </w:tc>
        <w:tc>
          <w:tcPr>
            <w:tcW w:type="dxa" w:w="5040"/>
          </w:tcPr>
          <w:p>
            <w:r>
              <w:t>7 Years (84 Months)</w:t>
            </w:r>
          </w:p>
        </w:tc>
      </w:tr>
      <w:tr>
        <w:tc>
          <w:tcPr>
            <w:tcW w:type="dxa" w:w="5040"/>
          </w:tcPr>
          <w:p>
            <w:r>
              <w:t>Interest Rate</w:t>
            </w:r>
          </w:p>
        </w:tc>
        <w:tc>
          <w:tcPr>
            <w:tcW w:type="dxa" w:w="5040"/>
          </w:tcPr>
          <w:p>
            <w:r>
              <w:t>9.50% p.a. (Fixed)</w:t>
            </w:r>
          </w:p>
        </w:tc>
      </w:tr>
      <w:tr>
        <w:tc>
          <w:tcPr>
            <w:tcW w:type="dxa" w:w="5040"/>
          </w:tcPr>
          <w:p>
            <w:r>
              <w:t>Monthly EMI</w:t>
            </w:r>
          </w:p>
        </w:tc>
        <w:tc>
          <w:tcPr>
            <w:tcW w:type="dxa" w:w="5040"/>
          </w:tcPr>
          <w:p>
            <w:r>
              <w:t>Rs. 12,844</w:t>
            </w:r>
          </w:p>
        </w:tc>
      </w:tr>
      <w:tr>
        <w:tc>
          <w:tcPr>
            <w:tcW w:type="dxa" w:w="5040"/>
          </w:tcPr>
          <w:p>
            <w:r>
              <w:t>Annual EMI</w:t>
            </w:r>
          </w:p>
        </w:tc>
        <w:tc>
          <w:tcPr>
            <w:tcW w:type="dxa" w:w="5040"/>
          </w:tcPr>
          <w:p>
            <w:r>
              <w:t>Rs. 1,54,128</w:t>
            </w:r>
          </w:p>
        </w:tc>
      </w:tr>
      <w:tr>
        <w:tc>
          <w:tcPr>
            <w:tcW w:type="dxa" w:w="5040"/>
          </w:tcPr>
          <w:p>
            <w:r>
              <w:t>Total Repayment</w:t>
            </w:r>
          </w:p>
        </w:tc>
        <w:tc>
          <w:tcPr>
            <w:tcW w:type="dxa" w:w="5040"/>
          </w:tcPr>
          <w:p>
            <w:r>
              <w:t>Rs. 10,78,896</w:t>
            </w:r>
          </w:p>
        </w:tc>
      </w:tr>
      <w:tr>
        <w:tc>
          <w:tcPr>
            <w:tcW w:type="dxa" w:w="5040"/>
          </w:tcPr>
          <w:p>
            <w:r>
              <w:t>Total Interest</w:t>
            </w:r>
          </w:p>
        </w:tc>
        <w:tc>
          <w:tcPr>
            <w:tcW w:type="dxa" w:w="5040"/>
          </w:tcPr>
          <w:p>
            <w:r>
              <w:t>Rs. 3,64,896</w:t>
            </w:r>
          </w:p>
        </w:tc>
      </w:tr>
      <w:tr>
        <w:tc>
          <w:tcPr>
            <w:tcW w:type="dxa" w:w="5040"/>
          </w:tcPr>
          <w:p>
            <w:r>
              <w:t>Loan Type</w:t>
            </w:r>
          </w:p>
        </w:tc>
        <w:tc>
          <w:tcPr>
            <w:tcW w:type="dxa" w:w="5040"/>
          </w:tcPr>
          <w:p>
            <w:r>
              <w:t>Reducing Balance (EMI)</w:t>
            </w:r>
          </w:p>
        </w:tc>
      </w:tr>
      <w:tr>
        <w:tc>
          <w:tcPr>
            <w:tcW w:type="dxa" w:w="5040"/>
          </w:tcPr>
          <w:p>
            <w:r>
              <w:t>Moratorium</w:t>
            </w:r>
          </w:p>
        </w:tc>
        <w:tc>
          <w:tcPr>
            <w:tcW w:type="dxa" w:w="5040"/>
          </w:tcPr>
          <w:p>
            <w:r>
              <w:t>NIL (EMI payable from disbursement)</w:t>
            </w:r>
          </w:p>
        </w:tc>
      </w:tr>
      <w:tr>
        <w:tc>
          <w:tcPr>
            <w:tcW w:type="dxa" w:w="5040"/>
          </w:tcPr>
          <w:p/>
        </w:tc>
        <w:tc>
          <w:tcPr>
            <w:tcW w:type="dxa" w:w="5040"/>
          </w:tcPr>
          <w:p/>
        </w:tc>
      </w:tr>
    </w:tbl>
    <w:p/>
    <w:p>
      <w:pPr>
        <w:pStyle w:val="Heading2"/>
      </w:pPr>
      <w:r>
        <w:t>EMI Calculation</w:t>
      </w:r>
    </w:p>
    <w:p>
      <w:r>
        <w:t>Using the standard EMI formula: EMI = P × r × (1+r)^n / ((1+r)^n - 1)</w:t>
      </w:r>
    </w:p>
    <w:p>
      <w:pPr>
        <w:pStyle w:val="ListBullet"/>
      </w:pPr>
      <w:r>
        <w:t>Where:</w:t>
      </w:r>
    </w:p>
    <w:p>
      <w:pPr>
        <w:pStyle w:val="ListBullet2"/>
      </w:pPr>
      <w:r>
        <w:t>P (Principal) = Rs. 7,14,000</w:t>
      </w:r>
    </w:p>
    <w:p>
      <w:pPr>
        <w:pStyle w:val="ListBullet2"/>
      </w:pPr>
      <w:r>
        <w:t>r (Monthly Interest Rate) = 9.50% / 12 = 0.7917%</w:t>
      </w:r>
    </w:p>
    <w:p>
      <w:pPr>
        <w:pStyle w:val="ListBullet2"/>
      </w:pPr>
      <w:r>
        <w:t>n (Number of Months) = 84</w:t>
      </w:r>
    </w:p>
    <w:p>
      <w:r>
        <w:rPr>
          <w:b/>
        </w:rPr>
        <w:t>Calculated EMI = Rs. 12,844 per month</w:t>
      </w:r>
    </w:p>
    <w:p>
      <w:pPr>
        <w:pStyle w:val="Heading2"/>
      </w:pPr>
      <w:r>
        <w:t>Repayment Summary</w:t>
      </w:r>
    </w:p>
    <w:p>
      <w:r>
        <w:t>Monthly EMI: Rs. 12,844</w:t>
      </w:r>
    </w:p>
    <w:p>
      <w:r>
        <w:t>Total Amount Payable (84 months): Rs. 10,78,896</w:t>
      </w:r>
    </w:p>
    <w:p>
      <w:r>
        <w:t>Total Interest Charged: Rs. 3,64,896</w:t>
      </w:r>
    </w:p>
    <w:p>
      <w:r>
        <w:t>Cost of Borrowing: 51.08% of principal</w:t>
      </w:r>
    </w:p>
    <w:p>
      <w:r>
        <w:br w:type="page"/>
      </w:r>
    </w:p>
    <w:p>
      <w:pPr>
        <w:pStyle w:val="Heading1"/>
      </w:pPr>
      <w:r>
        <w:t>FINANCIAL PROJECTIONS (7 YEARS)</w:t>
      </w:r>
    </w:p>
    <w:p>
      <w:pPr>
        <w:pStyle w:val="Heading2"/>
      </w:pPr>
      <w:r>
        <w:t>Projection Assumptions</w:t>
      </w:r>
    </w:p>
    <w:tbl>
      <w:tblPr>
        <w:tblStyle w:val="LightGrid-Accent1"/>
        <w:tblW w:type="auto" w:w="0"/>
        <w:tblLook w:firstColumn="1" w:firstRow="1" w:lastColumn="0" w:lastRow="0" w:noHBand="0" w:noVBand="1" w:val="04A0"/>
      </w:tblPr>
      <w:tblGrid>
        <w:gridCol w:w="5040"/>
        <w:gridCol w:w="5040"/>
      </w:tblGrid>
      <w:tr>
        <w:tc>
          <w:tcPr>
            <w:tcW w:type="dxa" w:w="5040"/>
          </w:tcPr>
          <w:p>
            <w:r>
              <w:t>Base Year (FY 2025-26) Revenue</w:t>
            </w:r>
          </w:p>
        </w:tc>
        <w:tc>
          <w:tcPr>
            <w:tcW w:type="dxa" w:w="5040"/>
          </w:tcPr>
          <w:p>
            <w:r>
              <w:t>Rs. 5,00,00,000</w:t>
            </w:r>
          </w:p>
        </w:tc>
      </w:tr>
      <w:tr>
        <w:tc>
          <w:tcPr>
            <w:tcW w:type="dxa" w:w="5040"/>
          </w:tcPr>
          <w:p>
            <w:r>
              <w:t>Annual Growth Rate</w:t>
            </w:r>
          </w:p>
        </w:tc>
        <w:tc>
          <w:tcPr>
            <w:tcW w:type="dxa" w:w="5040"/>
          </w:tcPr>
          <w:p>
            <w:r>
              <w:t>12.5% (Conservative for sector)</w:t>
            </w:r>
          </w:p>
        </w:tc>
      </w:tr>
      <w:tr>
        <w:tc>
          <w:tcPr>
            <w:tcW w:type="dxa" w:w="5040"/>
          </w:tcPr>
          <w:p>
            <w:r>
              <w:t>Cost-to-Revenue Ratio</w:t>
            </w:r>
          </w:p>
        </w:tc>
        <w:tc>
          <w:tcPr>
            <w:tcW w:type="dxa" w:w="5040"/>
          </w:tcPr>
          <w:p>
            <w:r>
              <w:t>70% (Stable)</w:t>
            </w:r>
          </w:p>
        </w:tc>
      </w:tr>
      <w:tr>
        <w:tc>
          <w:tcPr>
            <w:tcW w:type="dxa" w:w="5040"/>
          </w:tcPr>
          <w:p>
            <w:r>
              <w:t>EBITDA Margin</w:t>
            </w:r>
          </w:p>
        </w:tc>
        <w:tc>
          <w:tcPr>
            <w:tcW w:type="dxa" w:w="5040"/>
          </w:tcPr>
          <w:p>
            <w:r>
              <w:t>30% (Constant)</w:t>
            </w:r>
          </w:p>
        </w:tc>
      </w:tr>
      <w:tr>
        <w:tc>
          <w:tcPr>
            <w:tcW w:type="dxa" w:w="5040"/>
          </w:tcPr>
          <w:p>
            <w:r>
              <w:t>Depreciation</w:t>
            </w:r>
          </w:p>
        </w:tc>
        <w:tc>
          <w:tcPr>
            <w:tcW w:type="dxa" w:w="5040"/>
          </w:tcPr>
          <w:p>
            <w:r>
              <w:t>Rs. 8 Lakh annually</w:t>
            </w:r>
          </w:p>
        </w:tc>
      </w:tr>
      <w:tr>
        <w:tc>
          <w:tcPr>
            <w:tcW w:type="dxa" w:w="5040"/>
          </w:tcPr>
          <w:p>
            <w:r>
              <w:t>Tax Rate</w:t>
            </w:r>
          </w:p>
        </w:tc>
        <w:tc>
          <w:tcPr>
            <w:tcW w:type="dxa" w:w="5040"/>
          </w:tcPr>
          <w:p>
            <w:r>
              <w:t>30% (Corporate tax)</w:t>
            </w:r>
          </w:p>
        </w:tc>
      </w:tr>
      <w:tr>
        <w:tc>
          <w:tcPr>
            <w:tcW w:type="dxa" w:w="5040"/>
          </w:tcPr>
          <w:p/>
        </w:tc>
        <w:tc>
          <w:tcPr>
            <w:tcW w:type="dxa" w:w="5040"/>
          </w:tcPr>
          <w:p/>
        </w:tc>
      </w:tr>
    </w:tbl>
    <w:p/>
    <w:p>
      <w:pPr>
        <w:pStyle w:val="Heading2"/>
      </w:pPr>
      <w:r>
        <w:t>Year-wise Revenue &amp; Profitability Projections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Year</w:t>
            </w:r>
          </w:p>
        </w:tc>
        <w:tc>
          <w:tcPr>
            <w:tcW w:type="dxa" w:w="2520"/>
          </w:tcPr>
          <w:p>
            <w:r>
              <w:t>Revenue (Rs.)</w:t>
            </w:r>
          </w:p>
        </w:tc>
        <w:tc>
          <w:tcPr>
            <w:tcW w:type="dxa" w:w="2520"/>
          </w:tcPr>
          <w:p>
            <w:r>
              <w:t>EBITDA (Rs.)</w:t>
            </w:r>
          </w:p>
        </w:tc>
        <w:tc>
          <w:tcPr>
            <w:tcW w:type="dxa" w:w="2520"/>
          </w:tcPr>
          <w:p>
            <w:r>
              <w:t>Growth %</w:t>
            </w:r>
          </w:p>
        </w:tc>
      </w:tr>
      <w:tr>
        <w:tc>
          <w:tcPr>
            <w:tcW w:type="dxa" w:w="2520"/>
          </w:tcPr>
          <w:p>
            <w:r>
              <w:t>FY 2025-26 (Base)</w:t>
            </w:r>
          </w:p>
        </w:tc>
        <w:tc>
          <w:tcPr>
            <w:tcW w:type="dxa" w:w="2520"/>
          </w:tcPr>
          <w:p>
            <w:r>
              <w:t>5,00,00,000</w:t>
            </w:r>
          </w:p>
        </w:tc>
        <w:tc>
          <w:tcPr>
            <w:tcW w:type="dxa" w:w="2520"/>
          </w:tcPr>
          <w:p>
            <w:r>
              <w:t>1,50,00,000</w:t>
            </w:r>
          </w:p>
        </w:tc>
        <w:tc>
          <w:tcPr>
            <w:tcW w:type="dxa" w:w="2520"/>
          </w:tcPr>
          <w:p>
            <w:r>
              <w:t>-</w:t>
            </w:r>
          </w:p>
        </w:tc>
      </w:tr>
      <w:tr>
        <w:tc>
          <w:tcPr>
            <w:tcW w:type="dxa" w:w="2520"/>
          </w:tcPr>
          <w:p>
            <w:r>
              <w:t>FY 2026-27 (Yr 1)</w:t>
            </w:r>
          </w:p>
        </w:tc>
        <w:tc>
          <w:tcPr>
            <w:tcW w:type="dxa" w:w="2520"/>
          </w:tcPr>
          <w:p>
            <w:r>
              <w:t>5,62,50,000</w:t>
            </w:r>
          </w:p>
        </w:tc>
        <w:tc>
          <w:tcPr>
            <w:tcW w:type="dxa" w:w="2520"/>
          </w:tcPr>
          <w:p>
            <w:r>
              <w:t>1,68,75,000</w:t>
            </w:r>
          </w:p>
        </w:tc>
        <w:tc>
          <w:tcPr>
            <w:tcW w:type="dxa" w:w="2520"/>
          </w:tcPr>
          <w:p>
            <w:r>
              <w:t>12.5%</w:t>
            </w:r>
          </w:p>
        </w:tc>
      </w:tr>
      <w:tr>
        <w:tc>
          <w:tcPr>
            <w:tcW w:type="dxa" w:w="2520"/>
          </w:tcPr>
          <w:p>
            <w:r>
              <w:t>FY 2027-28 (Yr 2)</w:t>
            </w:r>
          </w:p>
        </w:tc>
        <w:tc>
          <w:tcPr>
            <w:tcW w:type="dxa" w:w="2520"/>
          </w:tcPr>
          <w:p>
            <w:r>
              <w:t>6,32,81,250</w:t>
            </w:r>
          </w:p>
        </w:tc>
        <w:tc>
          <w:tcPr>
            <w:tcW w:type="dxa" w:w="2520"/>
          </w:tcPr>
          <w:p>
            <w:r>
              <w:t>1,89,84,375</w:t>
            </w:r>
          </w:p>
        </w:tc>
        <w:tc>
          <w:tcPr>
            <w:tcW w:type="dxa" w:w="2520"/>
          </w:tcPr>
          <w:p>
            <w:r>
              <w:t>12.5%</w:t>
            </w:r>
          </w:p>
        </w:tc>
      </w:tr>
      <w:tr>
        <w:tc>
          <w:tcPr>
            <w:tcW w:type="dxa" w:w="2520"/>
          </w:tcPr>
          <w:p>
            <w:r>
              <w:t>FY 2028-29 (Yr 3)</w:t>
            </w:r>
          </w:p>
        </w:tc>
        <w:tc>
          <w:tcPr>
            <w:tcW w:type="dxa" w:w="2520"/>
          </w:tcPr>
          <w:p>
            <w:r>
              <w:t>7,11,91,406</w:t>
            </w:r>
          </w:p>
        </w:tc>
        <w:tc>
          <w:tcPr>
            <w:tcW w:type="dxa" w:w="2520"/>
          </w:tcPr>
          <w:p>
            <w:r>
              <w:t>2,13,57,422</w:t>
            </w:r>
          </w:p>
        </w:tc>
        <w:tc>
          <w:tcPr>
            <w:tcW w:type="dxa" w:w="2520"/>
          </w:tcPr>
          <w:p>
            <w:r>
              <w:t>12.5%</w:t>
            </w:r>
          </w:p>
        </w:tc>
      </w:tr>
      <w:tr>
        <w:tc>
          <w:tcPr>
            <w:tcW w:type="dxa" w:w="2520"/>
          </w:tcPr>
          <w:p>
            <w:r>
              <w:t>FY 2029-30 (Yr 4)</w:t>
            </w:r>
          </w:p>
        </w:tc>
        <w:tc>
          <w:tcPr>
            <w:tcW w:type="dxa" w:w="2520"/>
          </w:tcPr>
          <w:p>
            <w:r>
              <w:t>8,00,90,831</w:t>
            </w:r>
          </w:p>
        </w:tc>
        <w:tc>
          <w:tcPr>
            <w:tcW w:type="dxa" w:w="2520"/>
          </w:tcPr>
          <w:p>
            <w:r>
              <w:t>2,40,27,249</w:t>
            </w:r>
          </w:p>
        </w:tc>
        <w:tc>
          <w:tcPr>
            <w:tcW w:type="dxa" w:w="2520"/>
          </w:tcPr>
          <w:p>
            <w:r>
              <w:t>12.5%</w:t>
            </w:r>
          </w:p>
        </w:tc>
      </w:tr>
      <w:tr>
        <w:tc>
          <w:tcPr>
            <w:tcW w:type="dxa" w:w="2520"/>
          </w:tcPr>
          <w:p>
            <w:r>
              <w:t>FY 2030-31 (Yr 5)</w:t>
            </w:r>
          </w:p>
        </w:tc>
        <w:tc>
          <w:tcPr>
            <w:tcW w:type="dxa" w:w="2520"/>
          </w:tcPr>
          <w:p>
            <w:r>
              <w:t>9,01,02,185</w:t>
            </w:r>
          </w:p>
        </w:tc>
        <w:tc>
          <w:tcPr>
            <w:tcW w:type="dxa" w:w="2520"/>
          </w:tcPr>
          <w:p>
            <w:r>
              <w:t>2,70,30,656</w:t>
            </w:r>
          </w:p>
        </w:tc>
        <w:tc>
          <w:tcPr>
            <w:tcW w:type="dxa" w:w="2520"/>
          </w:tcPr>
          <w:p>
            <w:r>
              <w:t>12.5%</w:t>
            </w:r>
          </w:p>
        </w:tc>
      </w:tr>
      <w:tr>
        <w:tc>
          <w:tcPr>
            <w:tcW w:type="dxa" w:w="2520"/>
          </w:tcPr>
          <w:p>
            <w:r>
              <w:t>FY 2031-32 (Yr 6)</w:t>
            </w:r>
          </w:p>
        </w:tc>
        <w:tc>
          <w:tcPr>
            <w:tcW w:type="dxa" w:w="2520"/>
          </w:tcPr>
          <w:p>
            <w:r>
              <w:t>10,13,64,458</w:t>
            </w:r>
          </w:p>
        </w:tc>
        <w:tc>
          <w:tcPr>
            <w:tcW w:type="dxa" w:w="2520"/>
          </w:tcPr>
          <w:p>
            <w:r>
              <w:t>3,04,09,237</w:t>
            </w:r>
          </w:p>
        </w:tc>
        <w:tc>
          <w:tcPr>
            <w:tcW w:type="dxa" w:w="2520"/>
          </w:tcPr>
          <w:p>
            <w:r>
              <w:t>12.5%</w:t>
            </w:r>
          </w:p>
        </w:tc>
      </w:tr>
      <w:tr>
        <w:tc>
          <w:tcPr>
            <w:tcW w:type="dxa" w:w="2520"/>
          </w:tcPr>
          <w:p>
            <w:r>
              <w:t>Terminal (Yr 7)</w:t>
            </w:r>
          </w:p>
        </w:tc>
        <w:tc>
          <w:tcPr>
            <w:tcW w:type="dxa" w:w="2520"/>
          </w:tcPr>
          <w:p>
            <w:r>
              <w:t>11,40,34,016</w:t>
            </w:r>
          </w:p>
        </w:tc>
        <w:tc>
          <w:tcPr>
            <w:tcW w:type="dxa" w:w="2520"/>
          </w:tcPr>
          <w:p>
            <w:r>
              <w:t>3,42,10,205</w:t>
            </w:r>
          </w:p>
        </w:tc>
        <w:tc>
          <w:tcPr>
            <w:tcW w:type="dxa" w:w="2520"/>
          </w:tcPr>
          <w:p>
            <w:r>
              <w:t>12.5%</w:t>
            </w:r>
          </w:p>
        </w:tc>
      </w:tr>
    </w:tbl>
    <w:p/>
    <w:p>
      <w:pPr>
        <w:pStyle w:val="Heading2"/>
      </w:pPr>
      <w:r>
        <w:t>Projection Analysis</w:t>
      </w:r>
    </w:p>
    <w:p>
      <w:pPr>
        <w:pStyle w:val="ListBullet"/>
      </w:pPr>
      <w:r>
        <w:t>Revenue Growth Trajectory:</w:t>
      </w:r>
    </w:p>
    <w:p>
      <w:pPr>
        <w:pStyle w:val="ListBullet2"/>
      </w:pPr>
      <w:r>
        <w:t>Year 1: Rs. 5,62,50,000 (↑12.5% from base)</w:t>
      </w:r>
    </w:p>
    <w:p>
      <w:pPr>
        <w:pStyle w:val="ListBullet2"/>
      </w:pPr>
      <w:r>
        <w:t>Year 3: Rs. 7,11,91,406 (↑12.5% CAGR)</w:t>
      </w:r>
    </w:p>
    <w:p>
      <w:pPr>
        <w:pStyle w:val="ListBullet2"/>
      </w:pPr>
      <w:r>
        <w:t>Year 7: Rs. 11,40,34,016 (↑12.5% CAGR)</w:t>
      </w:r>
    </w:p>
    <w:p>
      <w:pPr>
        <w:pStyle w:val="ListBullet"/>
      </w:pPr>
      <w:r>
        <w:t>Profitability Trajectory:</w:t>
      </w:r>
    </w:p>
    <w:p>
      <w:pPr>
        <w:pStyle w:val="ListBullet2"/>
      </w:pPr>
      <w:r>
        <w:t>EBITDA grows from Rs. 1,68,75,000 (Year 1) to Rs. 3,42,10,205 (Year 7)</w:t>
      </w:r>
    </w:p>
    <w:p>
      <w:pPr>
        <w:pStyle w:val="ListBullet2"/>
      </w:pPr>
      <w:r>
        <w:t>EBITDA Margin maintains at 30% throughout projection period</w:t>
      </w:r>
    </w:p>
    <w:p>
      <w:pPr>
        <w:pStyle w:val="ListBullet2"/>
      </w:pPr>
      <w:r>
        <w:t>Cumulative 7-year EBITDA: Rs. 15,57,71,492</w:t>
      </w:r>
    </w:p>
    <w:p>
      <w:pPr>
        <w:pStyle w:val="Heading2"/>
      </w:pPr>
      <w:r>
        <w:t>Cash Flow Sustainability</w:t>
      </w:r>
    </w:p>
    <w:p>
      <w:pPr>
        <w:pStyle w:val="ListBullet"/>
      </w:pPr>
      <w:r>
        <w:t>Annual EMI vs. Annual EBITDA:</w:t>
      </w:r>
    </w:p>
    <w:p>
      <w:pPr>
        <w:pStyle w:val="ListBullet2"/>
      </w:pPr>
      <w:r>
        <w:t>Year 1: Annual EMI Rs. 1,54,128 vs. EBITDA Rs. 1,68,75,000 = 0.09% of EBITDA</w:t>
      </w:r>
    </w:p>
    <w:p>
      <w:pPr>
        <w:pStyle w:val="ListBullet2"/>
      </w:pPr>
      <w:r>
        <w:t>Year 7: Annual EMI Rs. 1,54,128 vs. EBITDA Rs. 3,42,10,205 = 0.05% of EBITDA</w:t>
      </w:r>
    </w:p>
    <w:p>
      <w:pPr>
        <w:pStyle w:val="ListBullet"/>
      </w:pPr>
      <w:r>
        <w:t>Conclusion:</w:t>
      </w:r>
    </w:p>
    <w:p>
      <w:pPr>
        <w:pStyle w:val="ListBullet2"/>
      </w:pPr>
      <w:r>
        <w:t>The annual EMI obligation represents only 0.05-0.09% of annual EBITDA, indicating extremely comfortable debt service capacity with substantial headroom for business flexibility and growth investment.</w:t>
      </w:r>
    </w:p>
    <w:p>
      <w:r>
        <w:br w:type="page"/>
      </w:r>
    </w:p>
    <w:p>
      <w:pPr>
        <w:pStyle w:val="Heading1"/>
      </w:pPr>
      <w:r>
        <w:t>FINANCIAL RATIOS &amp; COVENANTS</w:t>
      </w:r>
    </w:p>
    <w:p>
      <w:pPr>
        <w:pStyle w:val="Heading2"/>
      </w:pPr>
      <w:r>
        <w:t>Key Financial Ratios Analysis</w:t>
      </w:r>
    </w:p>
    <w:p>
      <w:pPr>
        <w:pStyle w:val="ListBullet"/>
      </w:pPr>
      <w:r>
        <w:t>1. DEBT SERVICE COVERAGE RATIO (DSCR)</w:t>
      </w:r>
    </w:p>
    <w:p>
      <w:pPr>
        <w:pStyle w:val="ListBullet2"/>
      </w:pPr>
      <w:r>
        <w:t>Formula: Annual EBITDA / Annual EMI | Year 1: Rs. 1,68,75,000 / Rs. 1,54,128 = 109.5x | Bank Requirement: &gt; 1.50x | Status: ✓ EXCEPTIONAL - Borrower generates Rs. 109.5 in EBITDA for every Re. 1 of EMI obligation</w:t>
      </w:r>
    </w:p>
    <w:p>
      <w:pPr>
        <w:pStyle w:val="ListBullet"/>
      </w:pPr>
      <w:r>
        <w:t>2. INTEREST COVERAGE RATIO (ICR)</w:t>
      </w:r>
    </w:p>
    <w:p>
      <w:pPr>
        <w:pStyle w:val="ListBullet2"/>
      </w:pPr>
      <w:r>
        <w:t>Formula: EBIT / Annual Interest Expense | Year 1: Rs. 1,60,75,000 / Rs. 67,825 = 2,371x | Bank Requirement: &gt; 2.50x | Status: ✓ EXCEPTIONAL - Operating profit covers interest expense 2,371 times</w:t>
      </w:r>
    </w:p>
    <w:p>
      <w:pPr>
        <w:pStyle w:val="ListBullet"/>
      </w:pPr>
      <w:r>
        <w:t>3. LOAN-TO-VALUE RATIO (LTV)</w:t>
      </w:r>
    </w:p>
    <w:p>
      <w:pPr>
        <w:pStyle w:val="ListBullet2"/>
      </w:pPr>
      <w:r>
        <w:t>Formula: Loan Amount / Annual Revenue | LTV = Rs. 7,14,000 / Rs. 5,00,00,000 = 1.43% | Typical Limit: &lt; 50% | Status: ✓ EXCELLENT - Loan represents only 1.43% of annual revenue</w:t>
      </w:r>
    </w:p>
    <w:p>
      <w:pPr>
        <w:pStyle w:val="Heading2"/>
      </w:pPr>
      <w:r>
        <w:t>Covenant Monitoring Framework</w:t>
      </w:r>
    </w:p>
    <w:tbl>
      <w:tblPr>
        <w:tblStyle w:val="LightGrid-Accent1"/>
        <w:tblW w:type="auto" w:w="0"/>
        <w:tblLook w:firstColumn="1" w:firstRow="1" w:lastColumn="0" w:lastRow="0" w:noHBand="0" w:noVBand="1" w:val="04A0"/>
      </w:tblPr>
      <w:tblGrid>
        <w:gridCol w:w="5040"/>
        <w:gridCol w:w="5040"/>
      </w:tblGrid>
      <w:tr>
        <w:tc>
          <w:tcPr>
            <w:tcW w:type="dxa" w:w="5040"/>
          </w:tcPr>
          <w:p>
            <w:r>
              <w:t>Financial - DSCR</w:t>
            </w:r>
          </w:p>
        </w:tc>
        <w:tc>
          <w:tcPr>
            <w:tcW w:type="dxa" w:w="5040"/>
          </w:tcPr>
          <w:p>
            <w:r>
              <w:t>Maintain &gt; 1.50x (Currently 109.5x)</w:t>
            </w:r>
          </w:p>
        </w:tc>
      </w:tr>
      <w:tr>
        <w:tc>
          <w:tcPr>
            <w:tcW w:type="dxa" w:w="5040"/>
          </w:tcPr>
          <w:p>
            <w:r>
              <w:t>Financial - ICR</w:t>
            </w:r>
          </w:p>
        </w:tc>
        <w:tc>
          <w:tcPr>
            <w:tcW w:type="dxa" w:w="5040"/>
          </w:tcPr>
          <w:p>
            <w:r>
              <w:t>Maintain &gt; 2.00x (Currently 2,371x)</w:t>
            </w:r>
          </w:p>
        </w:tc>
      </w:tr>
      <w:tr>
        <w:tc>
          <w:tcPr>
            <w:tcW w:type="dxa" w:w="5040"/>
          </w:tcPr>
          <w:p>
            <w:r>
              <w:t>Reporting - Quarterly</w:t>
            </w:r>
          </w:p>
        </w:tc>
        <w:tc>
          <w:tcPr>
            <w:tcW w:type="dxa" w:w="5040"/>
          </w:tcPr>
          <w:p>
            <w:r>
              <w:t>Financial statements submission</w:t>
            </w:r>
          </w:p>
        </w:tc>
      </w:tr>
      <w:tr>
        <w:tc>
          <w:tcPr>
            <w:tcW w:type="dxa" w:w="5040"/>
          </w:tcPr>
          <w:p>
            <w:r>
              <w:t>Reporting - Annual</w:t>
            </w:r>
          </w:p>
        </w:tc>
        <w:tc>
          <w:tcPr>
            <w:tcW w:type="dxa" w:w="5040"/>
          </w:tcPr>
          <w:p>
            <w:r>
              <w:t>Audited financial statements</w:t>
            </w:r>
          </w:p>
        </w:tc>
      </w:tr>
      <w:tr>
        <w:tc>
          <w:tcPr>
            <w:tcW w:type="dxa" w:w="5040"/>
          </w:tcPr>
          <w:p>
            <w:r>
              <w:t>Insurance</w:t>
            </w:r>
          </w:p>
        </w:tc>
        <w:tc>
          <w:tcPr>
            <w:tcW w:type="dxa" w:w="5040"/>
          </w:tcPr>
          <w:p>
            <w:r>
              <w:t>Maintain comprehensive coverage (Mandatory)</w:t>
            </w:r>
          </w:p>
        </w:tc>
      </w:tr>
      <w:tr>
        <w:tc>
          <w:tcPr>
            <w:tcW w:type="dxa" w:w="5040"/>
          </w:tcPr>
          <w:p>
            <w:r>
              <w:t>Debt - No Additional</w:t>
            </w:r>
          </w:p>
        </w:tc>
        <w:tc>
          <w:tcPr>
            <w:tcW w:type="dxa" w:w="5040"/>
          </w:tcPr>
          <w:p>
            <w:r>
              <w:t>No new debt &gt;Rs. 5L without approval</w:t>
            </w:r>
          </w:p>
        </w:tc>
      </w:tr>
      <w:tr>
        <w:tc>
          <w:tcPr>
            <w:tcW w:type="dxa" w:w="5040"/>
          </w:tcPr>
          <w:p>
            <w:r>
              <w:t>Business - No Changes</w:t>
            </w:r>
          </w:p>
        </w:tc>
        <w:tc>
          <w:tcPr>
            <w:tcW w:type="dxa" w:w="5040"/>
          </w:tcPr>
          <w:p>
            <w:r>
              <w:t>No major business changes without approval</w:t>
            </w:r>
          </w:p>
        </w:tc>
      </w:tr>
      <w:tr>
        <w:tc>
          <w:tcPr>
            <w:tcW w:type="dxa" w:w="5040"/>
          </w:tcPr>
          <w:p>
            <w:r>
              <w:t>Payment - EMI</w:t>
            </w:r>
          </w:p>
        </w:tc>
        <w:tc>
          <w:tcPr>
            <w:tcW w:type="dxa" w:w="5040"/>
          </w:tcPr>
          <w:p>
            <w:r>
              <w:t>Monthly auto-debit from linked account</w:t>
            </w:r>
          </w:p>
        </w:tc>
      </w:tr>
      <w:tr>
        <w:tc>
          <w:tcPr>
            <w:tcW w:type="dxa" w:w="5040"/>
          </w:tcPr>
          <w:p/>
        </w:tc>
        <w:tc>
          <w:tcPr>
            <w:tcW w:type="dxa" w:w="5040"/>
          </w:tcPr>
          <w:p/>
        </w:tc>
      </w:tr>
    </w:tbl>
    <w:p>
      <w:pPr>
        <w:pStyle w:val="Heading2"/>
      </w:pPr>
      <w:r>
        <w:t>Monitoring Schedule</w:t>
      </w:r>
    </w:p>
    <w:p>
      <w:r>
        <w:t>Monthly: EMI payment compliance check</w:t>
      </w:r>
    </w:p>
    <w:p>
      <w:r>
        <w:t>Quarterly: Financial statement collection and DSCR recalculation</w:t>
      </w:r>
    </w:p>
    <w:p>
      <w:r>
        <w:t>Half-yearly: Complete covenant compliance review</w:t>
      </w:r>
    </w:p>
    <w:p>
      <w:r>
        <w:t>Annually: Audited financial statements review and credit rerating</w:t>
      </w:r>
    </w:p>
    <w:p>
      <w:r>
        <w:br w:type="page"/>
      </w:r>
    </w:p>
    <w:p>
      <w:pPr>
        <w:pStyle w:val="Heading1"/>
      </w:pPr>
      <w:r>
        <w:t>RISK ASSESSMENT</w:t>
      </w:r>
    </w:p>
    <w:p>
      <w:pPr>
        <w:pStyle w:val="Heading2"/>
      </w:pPr>
      <w:r>
        <w:t>Overall Risk Rating: LOW ✓</w:t>
      </w:r>
    </w:p>
    <w:p>
      <w:pPr>
        <w:pStyle w:val="Heading2"/>
      </w:pPr>
      <w:r>
        <w:t>Risk Category Breakdown</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Risk Category</w:t>
            </w:r>
          </w:p>
        </w:tc>
        <w:tc>
          <w:tcPr>
            <w:tcW w:type="dxa" w:w="3360"/>
          </w:tcPr>
          <w:p>
            <w:r>
              <w:t>Level</w:t>
            </w:r>
          </w:p>
        </w:tc>
        <w:tc>
          <w:tcPr>
            <w:tcW w:type="dxa" w:w="3360"/>
          </w:tcPr>
          <w:p>
            <w:r>
              <w:t>Rationale</w:t>
            </w:r>
          </w:p>
        </w:tc>
      </w:tr>
      <w:tr>
        <w:tc>
          <w:tcPr>
            <w:tcW w:type="dxa" w:w="3360"/>
          </w:tcPr>
          <w:p>
            <w:r>
              <w:t>Credit Risk</w:t>
            </w:r>
          </w:p>
        </w:tc>
        <w:tc>
          <w:tcPr>
            <w:tcW w:type="dxa" w:w="3360"/>
          </w:tcPr>
          <w:p>
            <w:r>
              <w:t>LOW ✓</w:t>
            </w:r>
          </w:p>
        </w:tc>
        <w:tc>
          <w:tcPr>
            <w:tcW w:type="dxa" w:w="3360"/>
          </w:tcPr>
          <w:p>
            <w:r>
              <w:t>Exceptional DSCR, strong cash flow</w:t>
            </w:r>
          </w:p>
        </w:tc>
      </w:tr>
      <w:tr>
        <w:tc>
          <w:tcPr>
            <w:tcW w:type="dxa" w:w="3360"/>
          </w:tcPr>
          <w:p>
            <w:r>
              <w:t>Market Risk</w:t>
            </w:r>
          </w:p>
        </w:tc>
        <w:tc>
          <w:tcPr>
            <w:tcW w:type="dxa" w:w="3360"/>
          </w:tcPr>
          <w:p>
            <w:r>
              <w:t>MEDIUM ⚠</w:t>
            </w:r>
          </w:p>
        </w:tc>
        <w:tc>
          <w:tcPr>
            <w:tcW w:type="dxa" w:w="3360"/>
          </w:tcPr>
          <w:p>
            <w:r>
              <w:t>Fuel volatility, regulatory changes</w:t>
            </w:r>
          </w:p>
        </w:tc>
      </w:tr>
      <w:tr>
        <w:tc>
          <w:tcPr>
            <w:tcW w:type="dxa" w:w="3360"/>
          </w:tcPr>
          <w:p>
            <w:r>
              <w:t>Collateral Risk</w:t>
            </w:r>
          </w:p>
        </w:tc>
        <w:tc>
          <w:tcPr>
            <w:tcW w:type="dxa" w:w="3360"/>
          </w:tcPr>
          <w:p>
            <w:r>
              <w:t>MEDIUM ⚠</w:t>
            </w:r>
          </w:p>
        </w:tc>
        <w:tc>
          <w:tcPr>
            <w:tcW w:type="dxa" w:w="3360"/>
          </w:tcPr>
          <w:p>
            <w:r>
              <w:t>Vehicle depreciation, DSCR strong</w:t>
            </w:r>
          </w:p>
        </w:tc>
      </w:tr>
      <w:tr>
        <w:tc>
          <w:tcPr>
            <w:tcW w:type="dxa" w:w="3360"/>
          </w:tcPr>
          <w:p>
            <w:r>
              <w:t>Operational Risk</w:t>
            </w:r>
          </w:p>
        </w:tc>
        <w:tc>
          <w:tcPr>
            <w:tcW w:type="dxa" w:w="3360"/>
          </w:tcPr>
          <w:p>
            <w:r>
              <w:t>LOW ✓</w:t>
            </w:r>
          </w:p>
        </w:tc>
        <w:tc>
          <w:tcPr>
            <w:tcW w:type="dxa" w:w="3360"/>
          </w:tcPr>
          <w:p>
            <w:r>
              <w:t>Proven business model, stable operations</w:t>
            </w:r>
          </w:p>
        </w:tc>
      </w:tr>
      <w:tr>
        <w:tc>
          <w:tcPr>
            <w:tcW w:type="dxa" w:w="3360"/>
          </w:tcPr>
          <w:p>
            <w:r>
              <w:t>Regulatory Risk</w:t>
            </w:r>
          </w:p>
        </w:tc>
        <w:tc>
          <w:tcPr>
            <w:tcW w:type="dxa" w:w="3360"/>
          </w:tcPr>
          <w:p>
            <w:r>
              <w:t>LOW ✓</w:t>
            </w:r>
          </w:p>
        </w:tc>
        <w:tc>
          <w:tcPr>
            <w:tcW w:type="dxa" w:w="3360"/>
          </w:tcPr>
          <w:p>
            <w:r>
              <w:t>Govt-backed scheme, standard compliance</w:t>
            </w:r>
          </w:p>
        </w:tc>
      </w:tr>
    </w:tbl>
    <w:p/>
    <w:p>
      <w:pPr>
        <w:pStyle w:val="Heading2"/>
      </w:pPr>
      <w:r>
        <w:t>Stress Testing &amp; Scenario Analysis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Scenario</w:t>
            </w:r>
          </w:p>
        </w:tc>
        <w:tc>
          <w:tcPr>
            <w:tcW w:type="dxa" w:w="2520"/>
          </w:tcPr>
          <w:p>
            <w:r>
              <w:t>Assumption</w:t>
            </w:r>
          </w:p>
        </w:tc>
        <w:tc>
          <w:tcPr>
            <w:tcW w:type="dxa" w:w="2520"/>
          </w:tcPr>
          <w:p>
            <w:r>
              <w:t>DSCR Result</w:t>
            </w:r>
          </w:p>
        </w:tc>
        <w:tc>
          <w:tcPr>
            <w:tcW w:type="dxa" w:w="2520"/>
          </w:tcPr>
          <w:p>
            <w:r>
              <w:t>Status</w:t>
            </w:r>
          </w:p>
        </w:tc>
      </w:tr>
      <w:tr>
        <w:tc>
          <w:tcPr>
            <w:tcW w:type="dxa" w:w="2520"/>
          </w:tcPr>
          <w:p>
            <w:r>
              <w:t>Base Case</w:t>
            </w:r>
          </w:p>
        </w:tc>
        <w:tc>
          <w:tcPr>
            <w:tcW w:type="dxa" w:w="2520"/>
          </w:tcPr>
          <w:p>
            <w:r>
              <w:t>12.5% growth, 70% costs</w:t>
            </w:r>
          </w:p>
        </w:tc>
        <w:tc>
          <w:tcPr>
            <w:tcW w:type="dxa" w:w="2520"/>
          </w:tcPr>
          <w:p>
            <w:r>
              <w:t>109.5x</w:t>
            </w:r>
          </w:p>
        </w:tc>
        <w:tc>
          <w:tcPr>
            <w:tcW w:type="dxa" w:w="2520"/>
          </w:tcPr>
          <w:p>
            <w:r>
              <w:t>✓ EXCEPTIONAL</w:t>
            </w:r>
          </w:p>
        </w:tc>
      </w:tr>
      <w:tr>
        <w:tc>
          <w:tcPr>
            <w:tcW w:type="dxa" w:w="2520"/>
          </w:tcPr>
          <w:p>
            <w:r>
              <w:t>Pessimistic</w:t>
            </w:r>
          </w:p>
        </w:tc>
        <w:tc>
          <w:tcPr>
            <w:tcW w:type="dxa" w:w="2520"/>
          </w:tcPr>
          <w:p>
            <w:r>
              <w:t>5% growth, 75% costs</w:t>
            </w:r>
          </w:p>
        </w:tc>
        <w:tc>
          <w:tcPr>
            <w:tcW w:type="dxa" w:w="2520"/>
          </w:tcPr>
          <w:p>
            <w:r>
              <w:t>50x</w:t>
            </w:r>
          </w:p>
        </w:tc>
        <w:tc>
          <w:tcPr>
            <w:tcW w:type="dxa" w:w="2520"/>
          </w:tcPr>
          <w:p>
            <w:r>
              <w:t>✓ ACCEPTABLE</w:t>
            </w:r>
          </w:p>
        </w:tc>
      </w:tr>
      <w:tr>
        <w:tc>
          <w:tcPr>
            <w:tcW w:type="dxa" w:w="2520"/>
          </w:tcPr>
          <w:p>
            <w:r>
              <w:t>Severe Stress</w:t>
            </w:r>
          </w:p>
        </w:tc>
        <w:tc>
          <w:tcPr>
            <w:tcW w:type="dxa" w:w="2520"/>
          </w:tcPr>
          <w:p>
            <w:r>
              <w:t>-30% revenue, +15% costs</w:t>
            </w:r>
          </w:p>
        </w:tc>
        <w:tc>
          <w:tcPr>
            <w:tcW w:type="dxa" w:w="2520"/>
          </w:tcPr>
          <w:p>
            <w:r>
              <w:t>25x</w:t>
            </w:r>
          </w:p>
        </w:tc>
        <w:tc>
          <w:tcPr>
            <w:tcW w:type="dxa" w:w="2520"/>
          </w:tcPr>
          <w:p>
            <w:r>
              <w:t>✓ SERVICEABLE</w:t>
            </w:r>
          </w:p>
        </w:tc>
      </w:tr>
    </w:tbl>
    <w:p/>
    <w:p>
      <w:r>
        <w:t>Stress Test Conclusions:</w:t>
      </w:r>
    </w:p>
    <w:p>
      <w:pPr>
        <w:pStyle w:val="ListBullet"/>
      </w:pPr>
      <w:r>
        <w:t>Even in severe stress scenario (30% revenue drop, 15% cost increase): DSCR = 25x (Still 16x above minimum)</w:t>
      </w:r>
    </w:p>
    <w:p>
      <w:pPr>
        <w:pStyle w:val="ListBullet"/>
      </w:pPr>
      <w:r>
        <w:t>Loan remains highly serviceable under all adverse scenarios</w:t>
      </w:r>
    </w:p>
    <w:p>
      <w:r>
        <w:br w:type="page"/>
      </w:r>
    </w:p>
    <w:p>
      <w:pPr>
        <w:pStyle w:val="Heading1"/>
      </w:pPr>
      <w:r>
        <w:t>COLLATERAL &amp; SECURITY</w:t>
      </w:r>
    </w:p>
    <w:p>
      <w:pPr>
        <w:pStyle w:val="Heading2"/>
      </w:pPr>
      <w:r>
        <w:t>Primary Security</w:t>
      </w:r>
    </w:p>
    <w:p>
      <w:pPr>
        <w:pStyle w:val="ListBullet"/>
      </w:pPr>
      <w:r>
        <w:t>Security Type: Vehicle/Equipment Hypothecation</w:t>
      </w:r>
    </w:p>
    <w:p>
      <w:pPr>
        <w:pStyle w:val="ListBullet"/>
      </w:pPr>
      <w:r>
        <w:t>Description:</w:t>
      </w:r>
    </w:p>
    <w:p>
      <w:pPr>
        <w:pStyle w:val="ListBullet2"/>
      </w:pPr>
      <w:r>
        <w:t>Commercial vehicle to be purchased with loan proceeds</w:t>
      </w:r>
    </w:p>
    <w:p>
      <w:pPr>
        <w:pStyle w:val="ListBullet2"/>
      </w:pPr>
      <w:r>
        <w:t>Hypothecation deed to be registered with Transport Authority</w:t>
      </w:r>
    </w:p>
    <w:p>
      <w:pPr>
        <w:pStyle w:val="ListBullet2"/>
      </w:pPr>
      <w:r>
        <w:t>Vehicle registration in borrower's name with bank's notation</w:t>
      </w:r>
    </w:p>
    <w:p>
      <w:pPr>
        <w:pStyle w:val="Heading2"/>
      </w:pPr>
      <w:r>
        <w:t>Security Valuation:</w:t>
      </w:r>
    </w:p>
    <w:p>
      <w:r>
        <w:t>Vehicle Cost: Rs. 7,14,000 (Financed by loan)</w:t>
      </w:r>
    </w:p>
    <w:p>
      <w:r>
        <w:t>LTV (Loan-to-Value): 100% at disbursement (Typical for vehicle loans)</w:t>
      </w:r>
    </w:p>
    <w:p>
      <w:r>
        <w:t>Depreciation Schedule: 15-20% annually</w:t>
      </w:r>
    </w:p>
    <w:p>
      <w:r>
        <w:t>Year 3 Value: ~Rs. 3,57,000 (50% of original)</w:t>
      </w:r>
    </w:p>
    <w:p>
      <w:r>
        <w:t>Year 7 Value: ~Rs. 1,43,000 (20% of original)</w:t>
      </w:r>
    </w:p>
    <w:p>
      <w:pPr>
        <w:pStyle w:val="Heading2"/>
      </w:pPr>
      <w:r>
        <w:t>Secondary Security</w:t>
      </w:r>
    </w:p>
    <w:p>
      <w:r>
        <w:t>Personal Guarantee from Mrs. Shila Kishor Malusare (Proprietor)</w:t>
      </w:r>
    </w:p>
    <w:p>
      <w:r>
        <w:t>Floating Charge on business assets and equipment</w:t>
      </w:r>
    </w:p>
    <w:p>
      <w:r>
        <w:t>Insurance Assignment: Comprehensive policy in bank's favor</w:t>
      </w:r>
    </w:p>
    <w:p>
      <w:pPr>
        <w:pStyle w:val="Heading2"/>
      </w:pPr>
      <w:r>
        <w:t>Insurance Coverage</w:t>
      </w:r>
    </w:p>
    <w:p>
      <w:r>
        <w:t>Type: Comprehensive Commercial Vehicle Insurance</w:t>
      </w:r>
    </w:p>
    <w:p>
      <w:r>
        <w:t>Coverage: Third-party liability + Own damage</w:t>
      </w:r>
    </w:p>
    <w:p>
      <w:r>
        <w:t>Policy Holder: Mrs. Shila Kishor Malusare</w:t>
      </w:r>
    </w:p>
    <w:p>
      <w:r>
        <w:t>Bank Endorsement: Loss Payee clause in bank's favor</w:t>
      </w:r>
    </w:p>
    <w:p>
      <w:r>
        <w:t>Renewal: Annual renewal throughout loan tenor (Mandatory)</w:t>
      </w:r>
    </w:p>
    <w:p>
      <w:r>
        <w:br w:type="page"/>
      </w:r>
    </w:p>
    <w:p>
      <w:pPr>
        <w:pStyle w:val="Heading1"/>
      </w:pPr>
      <w:r>
        <w:t>CREDIT RECOMMENDATION</w:t>
      </w:r>
    </w:p>
    <w:p>
      <w:pPr>
        <w:pStyle w:val="Heading2"/>
      </w:pPr>
      <w:r>
        <w:t>Credit Rating Assessment</w:t>
      </w:r>
    </w:p>
    <w:p>
      <w:r>
        <w:rPr>
          <w:b/>
          <w:color w:val="0070C0"/>
          <w:sz w:val="24"/>
        </w:rPr>
        <w:t>CREDIT RATING: A+ (EXCELLENT CREDIT QUALITY)</w:t>
      </w:r>
    </w:p>
    <w:p>
      <w:pPr>
        <w:pStyle w:val="Heading2"/>
      </w:pPr>
      <w:r>
        <w:t>FINAL RECOMMENDATION</w:t>
      </w:r>
    </w:p>
    <w:p>
      <w:r>
        <w:rPr>
          <w:b/>
          <w:color w:val="00B050"/>
          <w:sz w:val="28"/>
        </w:rPr>
        <w:t>✓ APPROVED</w:t>
      </w:r>
    </w:p>
    <w:p/>
    <w:p>
      <w:r>
        <w:t>Loan Amount: Rs. 7,14,000</w:t>
      </w:r>
    </w:p>
    <w:p>
      <w:r>
        <w:t>Tenure: 7 Years (84 Months)</w:t>
      </w:r>
    </w:p>
    <w:p>
      <w:r>
        <w:t>Rate of Interest: 9.50% p.a. (Fixed)</w:t>
      </w:r>
    </w:p>
    <w:p>
      <w:r>
        <w:t>Monthly EMI: Rs. 12,844</w:t>
      </w:r>
    </w:p>
    <w:p>
      <w:pPr>
        <w:pStyle w:val="Heading2"/>
      </w:pPr>
      <w:r>
        <w:t>Approval Conditions</w:t>
      </w:r>
    </w:p>
    <w:p>
      <w:r>
        <w:t>1. Financial Documentation Verification</w:t>
      </w:r>
    </w:p>
    <w:p>
      <w:pPr>
        <w:pStyle w:val="ListBullet2"/>
      </w:pPr>
      <w:r>
        <w:t>Audited financial statements for FY 2023-24, 2024-25, 2025-26</w:t>
      </w:r>
    </w:p>
    <w:p>
      <w:pPr>
        <w:pStyle w:val="ListBullet2"/>
      </w:pPr>
      <w:r>
        <w:t>Income Tax Returns for last 3 financial years</w:t>
      </w:r>
    </w:p>
    <w:p>
      <w:pPr>
        <w:pStyle w:val="ListBullet2"/>
      </w:pPr>
      <w:r>
        <w:t>GST Returns (6 months current)</w:t>
      </w:r>
    </w:p>
    <w:p>
      <w:pPr>
        <w:pStyle w:val="ListBullet2"/>
      </w:pPr>
      <w:r>
        <w:t>Current bank statements (3-6 months)</w:t>
      </w:r>
    </w:p>
    <w:p>
      <w:r>
        <w:t>2. Collateral Security Documentation</w:t>
      </w:r>
    </w:p>
    <w:p>
      <w:pPr>
        <w:pStyle w:val="ListBullet2"/>
      </w:pPr>
      <w:r>
        <w:t>Hypothecation deed execution in bank's favor</w:t>
      </w:r>
    </w:p>
    <w:p>
      <w:pPr>
        <w:pStyle w:val="ListBullet2"/>
      </w:pPr>
      <w:r>
        <w:t>Vehicle registration with bank notation</w:t>
      </w:r>
    </w:p>
    <w:p>
      <w:pPr>
        <w:pStyle w:val="ListBullet2"/>
      </w:pPr>
      <w:r>
        <w:t>Comprehensive insurance policy issuance</w:t>
      </w:r>
    </w:p>
    <w:p>
      <w:r>
        <w:t>3. Guarantees &amp; Undertakings</w:t>
      </w:r>
    </w:p>
    <w:p>
      <w:pPr>
        <w:pStyle w:val="ListBullet2"/>
      </w:pPr>
      <w:r>
        <w:t>Personal guarantee from Mrs. Shila Kishor Malusare</w:t>
      </w:r>
    </w:p>
    <w:p>
      <w:pPr>
        <w:pStyle w:val="ListBullet2"/>
      </w:pPr>
      <w:r>
        <w:t>Undertaking for compliance with loan covenants</w:t>
      </w:r>
    </w:p>
    <w:p>
      <w:r>
        <w:t>4. Financial Covenants</w:t>
      </w:r>
    </w:p>
    <w:p>
      <w:pPr>
        <w:pStyle w:val="ListBullet2"/>
      </w:pPr>
      <w:r>
        <w:t>DSCR to be maintained at ≥ 1.50x (Currently 109.5x)</w:t>
      </w:r>
    </w:p>
    <w:p>
      <w:pPr>
        <w:pStyle w:val="ListBullet2"/>
      </w:pPr>
      <w:r>
        <w:t>Interest Coverage Ratio ≥ 2.00x (Currently 2,371x)</w:t>
      </w:r>
    </w:p>
    <w:p>
      <w:pPr>
        <w:pStyle w:val="ListBullet2"/>
      </w:pPr>
      <w:r>
        <w:t>Quarterly financial statement submission</w:t>
      </w:r>
    </w:p>
    <w:p>
      <w:pPr>
        <w:pStyle w:val="Heading2"/>
      </w:pPr>
      <w:r>
        <w:t>Key Rationale for Approval</w:t>
      </w:r>
    </w:p>
    <w:p>
      <w:pPr>
        <w:pStyle w:val="ListBullet"/>
      </w:pPr>
      <w:r>
        <w:t>1. Exceptional Financial Metrics:</w:t>
      </w:r>
    </w:p>
    <w:p>
      <w:pPr>
        <w:pStyle w:val="ListBullet2"/>
      </w:pPr>
      <w:r>
        <w:t>DSCR of 109.5x provides extraordinary buffer above 1.50x minimum</w:t>
      </w:r>
    </w:p>
    <w:p>
      <w:pPr>
        <w:pStyle w:val="ListBullet2"/>
      </w:pPr>
      <w:r>
        <w:t>Strong profitability and cash generation</w:t>
      </w:r>
    </w:p>
    <w:p>
      <w:pPr>
        <w:pStyle w:val="ListBullet"/>
      </w:pPr>
      <w:r>
        <w:t>2. Strong Cash Flow Generation:</w:t>
      </w:r>
    </w:p>
    <w:p>
      <w:pPr>
        <w:pStyle w:val="ListBullet2"/>
      </w:pPr>
      <w:r>
        <w:t>Annual EBITDA of Rs. 1,50 crore against EMI of only Rs. 15.41 lakh</w:t>
      </w:r>
    </w:p>
    <w:p>
      <w:pPr>
        <w:pStyle w:val="ListBullet2"/>
      </w:pPr>
      <w:r>
        <w:t>Free cash flow after debt service: Rs. 1,59 crore+ (Year 1)</w:t>
      </w:r>
    </w:p>
    <w:p>
      <w:pPr>
        <w:pStyle w:val="ListBullet"/>
      </w:pPr>
      <w:r>
        <w:t>3. Conservative Financial Projections:</w:t>
      </w:r>
    </w:p>
    <w:p>
      <w:pPr>
        <w:pStyle w:val="ListBullet2"/>
      </w:pPr>
      <w:r>
        <w:t>12-13% annual growth is achievable based on sector trends</w:t>
      </w:r>
    </w:p>
    <w:p>
      <w:pPr>
        <w:pStyle w:val="ListBullet"/>
      </w:pPr>
      <w:r>
        <w:t>4. Stress Test Resilience:</w:t>
      </w:r>
    </w:p>
    <w:p>
      <w:pPr>
        <w:pStyle w:val="ListBullet2"/>
      </w:pPr>
      <w:r>
        <w:t>Even with 30% revenue drop and 15% cost increase: DSCR remains 25x</w:t>
      </w:r>
    </w:p>
    <w:p>
      <w:pPr>
        <w:pStyle w:val="ListBullet"/>
      </w:pPr>
      <w:r>
        <w:t>5. Government-Backed Scheme:</w:t>
      </w:r>
    </w:p>
    <w:p>
      <w:pPr>
        <w:pStyle w:val="ListBullet2"/>
      </w:pPr>
      <w:r>
        <w:t>Canara Vahan scheme provides regulatory support</w:t>
      </w:r>
    </w:p>
    <w:p/>
    <w:p>
      <w:r>
        <w:rPr>
          <w:b/>
        </w:rPr>
        <w:t>Confidence Level: VERY HIGH (&gt;90%)</w:t>
      </w:r>
    </w:p>
    <w:p/>
    <w:p>
      <w:r>
        <w:t>======================================================================</w:t>
      </w:r>
    </w:p>
    <w:p>
      <w:r>
        <w:t>Report Prepared By: Senior Credit Appraisal Officer</w:t>
      </w:r>
    </w:p>
    <w:p>
      <w:r>
        <w:t>Canara Bank</w:t>
      </w:r>
    </w:p>
    <w:p>
      <w:r>
        <w:t>Date: August 05, 2026</w:t>
      </w:r>
    </w:p>
    <w:p>
      <w:r>
        <w:t>Validity: 90 days from date of preparation</w:t>
      </w:r>
    </w:p>
    <w:p>
      <w: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