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Example Corp Data Retention Policy</w:t>
      </w:r>
    </w:p>
    <w:p>
      <w:pPr>
        <w:pStyle w:val="Heading1"/>
      </w:pPr>
      <w:r>
        <w:t xml:space="preserve">1 Purpose</w:t>
      </w:r>
    </w:p>
    <w:p>
      <w:r>
        <w:t xml:space="preserve">This policy sets how long Example Corp keeps each class of data and where it is stored. It applies to production systems, analytics environments and backups.</w:t>
      </w:r>
    </w:p>
    <w:p>
      <w:pPr>
        <w:pStyle w:val="Heading1"/>
      </w:pPr>
      <w:r>
        <w:t xml:space="preserve">2 Scope</w:t>
      </w:r>
    </w:p>
    <w:p>
      <w:r>
        <w:t xml:space="preserve">The policy covers all data processed by the AI platform, including data held by subprocessors. Personal devices and paper records are out of scope.</w:t>
      </w:r>
    </w:p>
    <w:p>
      <w:pPr>
        <w:pStyle w:val="Heading1"/>
      </w:pPr>
      <w:r>
        <w:t xml:space="preserve">3 Retention Schedule</w:t>
      </w:r>
    </w:p>
    <w:p>
      <w:r>
        <w:t xml:space="preserve">Retention periods differ by region because of local regulation. Periods start when the record is created.</w:t>
      </w:r>
      <w:r>
        <w:footnoteReference w:id="2"/>
      </w:r>
    </w:p>
    <w:tbl>
      <w:tr>
        <w:trPr>
          <w:tblHeader/>
        </w:trPr>
        <w:tc>
          <w:tcPr>
            <w:vMerge w:val="restart"/>
          </w:tcPr>
          <w:p>
            <w:r>
              <w:t xml:space="preserve">Data class</w:t>
            </w:r>
          </w:p>
        </w:tc>
        <w:tc>
          <w:tcPr>
            <w:gridSpan w:val="2"/>
          </w:tcPr>
          <w:p>
            <w:r>
              <w:t xml:space="preserve">Primary storage</w:t>
            </w:r>
          </w:p>
        </w:tc>
        <w:tc>
          <w:tcPr>
            <w:gridSpan w:val="2"/>
          </w:tcPr>
          <w:p>
            <w:r>
              <w:t xml:space="preserve">Backups</w:t>
            </w:r>
          </w:p>
        </w:tc>
      </w:tr>
      <w:tr>
        <w:trPr>
          <w:tblHeader/>
        </w:trP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Region A</w:t>
            </w:r>
          </w:p>
        </w:tc>
        <w:tc>
          <w:tcPr/>
          <w:p>
            <w:r>
              <w:t xml:space="preserve">Region B</w:t>
            </w:r>
          </w:p>
        </w:tc>
        <w:tc>
          <w:tcPr/>
          <w:p>
            <w:r>
              <w:t xml:space="preserve">Region A</w:t>
            </w:r>
          </w:p>
        </w:tc>
        <w:tc>
          <w:tcPr/>
          <w:p>
            <w:r>
              <w:t xml:space="preserve">Region B</w:t>
            </w:r>
          </w:p>
        </w:tc>
      </w:tr>
      <w:tr>
        <w:tc>
          <w:tcPr/>
          <w:p>
            <w:r>
              <w:t xml:space="preserve">Customer support transcripts</w:t>
            </w:r>
          </w:p>
        </w:tc>
        <w:tc>
          <w:tcPr/>
          <w:p>
            <w:r>
              <w:t xml:space="preserve">18 months</w:t>
            </w:r>
          </w:p>
        </w:tc>
        <w:tc>
          <w:tcPr/>
          <w:p>
            <w:r>
              <w:t xml:space="preserve">12 months</w:t>
            </w:r>
          </w:p>
        </w:tc>
        <w:tc>
          <w:tcPr/>
          <w:p>
            <w:r>
              <w:t xml:space="preserve">90 days</w:t>
            </w:r>
          </w:p>
        </w:tc>
        <w:tc>
          <w:tcPr/>
          <w:p>
            <w:r>
              <w:t xml:space="preserve">35 days</w:t>
            </w:r>
          </w:p>
        </w:tc>
      </w:tr>
      <w:tr>
        <w:tc>
          <w:tcPr/>
          <w:p>
            <w:r>
              <w:t xml:space="preserve">Model training snapshots</w:t>
            </w:r>
          </w:p>
        </w:tc>
        <w:tc>
          <w:tcPr/>
          <w:p>
            <w:r>
              <w:t xml:space="preserve">24 months</w:t>
            </w:r>
          </w:p>
        </w:tc>
        <w:tc>
          <w:tcPr/>
          <w:p>
            <w:r>
              <w:t xml:space="preserve">24 months</w:t>
            </w:r>
          </w:p>
        </w:tc>
        <w:tc>
          <w:tcPr/>
          <w:p>
            <w:r>
              <w:t xml:space="preserve">180 days</w:t>
            </w:r>
          </w:p>
        </w:tc>
        <w:tc>
          <w:tcPr/>
          <w:p>
            <w:r>
              <w:t xml:space="preserve">180 days</w:t>
            </w:r>
          </w:p>
        </w:tc>
      </w:tr>
      <w:tr>
        <w:tc>
          <w:tcPr/>
          <w:p>
            <w:r>
              <w:t xml:space="preserve">Authentication logs</w:t>
            </w:r>
          </w:p>
        </w:tc>
        <w:tc>
          <w:tcPr/>
          <w:p>
            <w:r>
              <w:t xml:space="preserve">400 days</w:t>
            </w:r>
          </w:p>
        </w:tc>
        <w:tc>
          <w:tcPr/>
          <w:p>
            <w:r>
              <w:t xml:space="preserve">400 days</w:t>
            </w:r>
          </w:p>
        </w:tc>
        <w:tc>
          <w:tcPr/>
          <w:p>
            <w:r>
              <w:t xml:space="preserve">400 days</w:t>
            </w:r>
          </w:p>
        </w:tc>
        <w:tc>
          <w:tcPr/>
          <w:p>
            <w:r>
              <w:t xml:space="preserve">2 years</w:t>
            </w:r>
          </w:p>
        </w:tc>
      </w:tr>
      <w:tr>
        <w:tc>
          <w:tcPr/>
          <w:p>
            <w:r>
              <w:t xml:space="preserve">Billing records</w:t>
            </w:r>
          </w:p>
        </w:tc>
        <w:tc>
          <w:tcPr/>
          <w:p>
            <w:r>
              <w:t xml:space="preserve">7 years</w:t>
            </w:r>
          </w:p>
        </w:tc>
        <w:tc>
          <w:tcPr/>
          <w:p>
            <w:r>
              <w:t xml:space="preserve">7 years</w:t>
            </w:r>
          </w:p>
        </w:tc>
        <w:tc>
          <w:tcPr/>
          <w:p>
            <w:r>
              <w:t xml:space="preserve">7 years</w:t>
            </w:r>
          </w:p>
        </w:tc>
        <w:tc>
          <w:tcPr/>
          <w:p>
            <w:r>
              <w:t xml:space="preserve">7 years</w:t>
            </w:r>
          </w:p>
        </w:tc>
      </w:tr>
    </w:tbl>
    <w:p>
      <w:pPr>
        <w:pStyle w:val="Heading1"/>
      </w:pPr>
      <w:r>
        <w:t xml:space="preserve">4 Exceptions</w:t>
      </w:r>
    </w:p>
    <w:p>
      <w:pPr>
        <w:pStyle w:val="Heading2"/>
      </w:pPr>
      <w:r>
        <w:t xml:space="preserve">4.1 Legal hold</w:t>
      </w:r>
    </w:p>
    <w:p>
      <w:r>
        <w:t xml:space="preserve">When the legal team issues a hold, deletion stops for every record covered by the hold until the hold is released in writing. Holds override every period in the retention schedule.</w:t>
      </w:r>
    </w:p>
    <w:p>
      <w:pPr>
        <w:pStyle w:val="Heading2"/>
      </w:pPr>
      <w:r>
        <w:t xml:space="preserve">4.2 Customer-requested deletion</w:t>
      </w:r>
    </w:p>
    <w:p>
      <w:r>
        <w:t xml:space="preserve">Customers may request deletion of their data at any time. Requests are completed within 30 days in primary storage. Backups are not edited in place; deleted records age out of backups on the normal backup schedule.</w:t>
      </w:r>
    </w:p>
    <w:p>
      <w:pPr>
        <w:pStyle w:val="ListParagraph"/>
        <w:numPr>
          <w:ilvl w:val="0"/>
          <w:numId w:val="1"/>
        </w:numPr>
      </w:pPr>
      <w:r>
        <w:t xml:space="preserve">Requests are logged in the privacy ticket queue.</w:t>
      </w:r>
    </w:p>
    <w:p>
      <w:pPr>
        <w:pStyle w:val="ListParagraph"/>
        <w:numPr>
          <w:ilvl w:val="0"/>
          <w:numId w:val="1"/>
        </w:numPr>
      </w:pPr>
      <w:r>
        <w:t xml:space="preserve">The data protection officer approves any request that conflicts with a legal hold.</w:t>
      </w:r>
    </w:p>
    <w:p>
      <w:pPr>
        <w:pStyle w:val="Heading1"/>
      </w:pPr>
      <w:r>
        <w:t xml:space="preserve">5 Review</w:t>
      </w:r>
    </w:p>
    <w:p>
      <w:r>
        <w:t xml:space="preserve">The security and legal teams review this policy every 12 months, or sooner after a material change to the platform.</w:t>
      </w:r>
    </w:p>
  </w:body>
</w:document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2">
    <w:p>
      <w:r>
        <w:t>Region B periods follow the stricter of the two applicable regimes.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