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597"/>
          <w:sz w:val="40"/>
          <w:szCs w:val="40"/>
        </w:rPr>
        <w:t xml:space="preserve">Capstone Project 1: Sales Analytics &amp; Forecasting</w:t>
      </w:r>
    </w:p>
    <w:p>
      <w:pPr>
        <w:spacing w:after="300"/>
      </w:pPr>
      <w:r>
        <w:rPr>
          <w:i/>
          <w:iCs/>
          <w:color w:val="595959"/>
          <w:sz w:val="24"/>
          <w:szCs w:val="24"/>
        </w:rPr>
        <w:t xml:space="preserve">EDA, Regression Modeling, Dashboard &amp; Recommendations</w:t>
      </w:r>
    </w:p>
    <w:p>
      <w:pPr>
        <w:pStyle w:val="Heading1"/>
        <w:spacing w:after="150" w:before="300"/>
      </w:pPr>
      <w:r>
        <w:t xml:space="preserve">1. Executive Summary</w:t>
      </w:r>
    </w:p>
    <w:p>
      <w:pPr>
        <w:spacing w:after="160"/>
      </w:pPr>
      <w:r>
        <w:t xml:space="preserve">This project analyzes 700 sales transactions spanning 2013–2014 across five customer segments, five countries, and six products. The goals were to explore the data, build a model that predicts Sales, visualize key business metrics on a dashboard, and translate findings into actionable recommendations.</w:t>
      </w:r>
    </w:p>
    <w:p>
      <w:pPr>
        <w:spacing w:after="160"/>
      </w:pPr>
      <w:r>
        <w:t xml:space="preserve">The best-performing model, a Random Forest Regressor, explains 98.3% of the variance in Sales (R² = 0.983) on held-out test data, making it suitable for forecasting and planning support.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2F5597" w:val="clear"/>
            <w:tcMar>
              <w:top w:type="dxa" w:w="80"/>
              <w:left w:type="dxa" w:w="100"/>
              <w:bottom w:type="dxa" w:w="80"/>
              <w:right w:type="dxa" w:w="100"/>
            </w:tcMar>
          </w:tcPr>
          <w:p>
            <w:r>
              <w:rPr>
                <w:b/>
                <w:bCs/>
                <w:color w:val="FFFFFF"/>
                <w:sz w:val="20"/>
                <w:szCs w:val="20"/>
              </w:rPr>
              <w:t xml:space="preserve">Dataset</w:t>
            </w:r>
          </w:p>
        </w:tc>
        <w:tc>
          <w:tcPr>
            <w:tcW w:type="dxa" w:w="5600"/>
            <w:tcMar>
              <w:top w:type="dxa" w:w="80"/>
              <w:left w:type="dxa" w:w="100"/>
              <w:bottom w:type="dxa" w:w="80"/>
              <w:right w:type="dxa" w:w="100"/>
            </w:tcMar>
          </w:tcPr>
          <w:p>
            <w:r>
              <w:rPr>
                <w:b w:val="false"/>
                <w:bCs w:val="false"/>
                <w:color w:val="000000"/>
                <w:sz w:val="20"/>
                <w:szCs w:val="20"/>
              </w:rPr>
              <w:t xml:space="preserve">700 transactions, 16 fields (Segment, Country, Product, pricing, discounts, Sales, COGS, Profit, Date)</w:t>
            </w:r>
          </w:p>
        </w:tc>
      </w:tr>
      <w:tr>
        <w:tc>
          <w:tcPr>
            <w:tcW w:type="dxa" w:w="3200"/>
            <w:shd w:fill="2F5597" w:val="clear"/>
            <w:tcMar>
              <w:top w:type="dxa" w:w="80"/>
              <w:left w:type="dxa" w:w="100"/>
              <w:bottom w:type="dxa" w:w="80"/>
              <w:right w:type="dxa" w:w="100"/>
            </w:tcMar>
          </w:tcPr>
          <w:p>
            <w:r>
              <w:rPr>
                <w:b/>
                <w:bCs/>
                <w:color w:val="FFFFFF"/>
                <w:sz w:val="20"/>
                <w:szCs w:val="20"/>
              </w:rPr>
              <w:t xml:space="preserve">Time span</w:t>
            </w:r>
          </w:p>
        </w:tc>
        <w:tc>
          <w:tcPr>
            <w:tcW w:type="dxa" w:w="5600"/>
            <w:tcMar>
              <w:top w:type="dxa" w:w="80"/>
              <w:left w:type="dxa" w:w="100"/>
              <w:bottom w:type="dxa" w:w="80"/>
              <w:right w:type="dxa" w:w="100"/>
            </w:tcMar>
          </w:tcPr>
          <w:p>
            <w:r>
              <w:rPr>
                <w:b w:val="false"/>
                <w:bCs w:val="false"/>
                <w:color w:val="000000"/>
                <w:sz w:val="20"/>
                <w:szCs w:val="20"/>
              </w:rPr>
              <w:t xml:space="preserve">January 2013 – December 2014</w:t>
            </w:r>
          </w:p>
        </w:tc>
      </w:tr>
      <w:tr>
        <w:tc>
          <w:tcPr>
            <w:tcW w:type="dxa" w:w="3200"/>
            <w:shd w:fill="2F5597" w:val="clear"/>
            <w:tcMar>
              <w:top w:type="dxa" w:w="80"/>
              <w:left w:type="dxa" w:w="100"/>
              <w:bottom w:type="dxa" w:w="80"/>
              <w:right w:type="dxa" w:w="100"/>
            </w:tcMar>
          </w:tcPr>
          <w:p>
            <w:r>
              <w:rPr>
                <w:b/>
                <w:bCs/>
                <w:color w:val="FFFFFF"/>
                <w:sz w:val="20"/>
                <w:szCs w:val="20"/>
              </w:rPr>
              <w:t xml:space="preserve">Segments</w:t>
            </w:r>
          </w:p>
        </w:tc>
        <w:tc>
          <w:tcPr>
            <w:tcW w:type="dxa" w:w="5600"/>
            <w:tcMar>
              <w:top w:type="dxa" w:w="80"/>
              <w:left w:type="dxa" w:w="100"/>
              <w:bottom w:type="dxa" w:w="80"/>
              <w:right w:type="dxa" w:w="100"/>
            </w:tcMar>
          </w:tcPr>
          <w:p>
            <w:r>
              <w:rPr>
                <w:b w:val="false"/>
                <w:bCs w:val="false"/>
                <w:color w:val="000000"/>
                <w:sz w:val="20"/>
                <w:szCs w:val="20"/>
              </w:rPr>
              <w:t xml:space="preserve">Government, Small Business, Enterprise, Midmarket, Channel Partners</w:t>
            </w:r>
          </w:p>
        </w:tc>
      </w:tr>
      <w:tr>
        <w:tc>
          <w:tcPr>
            <w:tcW w:type="dxa" w:w="3200"/>
            <w:shd w:fill="2F5597" w:val="clear"/>
            <w:tcMar>
              <w:top w:type="dxa" w:w="80"/>
              <w:left w:type="dxa" w:w="100"/>
              <w:bottom w:type="dxa" w:w="80"/>
              <w:right w:type="dxa" w:w="100"/>
            </w:tcMar>
          </w:tcPr>
          <w:p>
            <w:r>
              <w:rPr>
                <w:b/>
                <w:bCs/>
                <w:color w:val="FFFFFF"/>
                <w:sz w:val="20"/>
                <w:szCs w:val="20"/>
              </w:rPr>
              <w:t xml:space="preserve">Countries</w:t>
            </w:r>
          </w:p>
        </w:tc>
        <w:tc>
          <w:tcPr>
            <w:tcW w:type="dxa" w:w="5600"/>
            <w:tcMar>
              <w:top w:type="dxa" w:w="80"/>
              <w:left w:type="dxa" w:w="100"/>
              <w:bottom w:type="dxa" w:w="80"/>
              <w:right w:type="dxa" w:w="100"/>
            </w:tcMar>
          </w:tcPr>
          <w:p>
            <w:r>
              <w:rPr>
                <w:b w:val="false"/>
                <w:bCs w:val="false"/>
                <w:color w:val="000000"/>
                <w:sz w:val="20"/>
                <w:szCs w:val="20"/>
              </w:rPr>
              <w:t xml:space="preserve">USA, Canada, France, Germany, Mexico</w:t>
            </w:r>
          </w:p>
        </w:tc>
      </w:tr>
      <w:tr>
        <w:tc>
          <w:tcPr>
            <w:tcW w:type="dxa" w:w="3200"/>
            <w:shd w:fill="2F5597" w:val="clear"/>
            <w:tcMar>
              <w:top w:type="dxa" w:w="80"/>
              <w:left w:type="dxa" w:w="100"/>
              <w:bottom w:type="dxa" w:w="80"/>
              <w:right w:type="dxa" w:w="100"/>
            </w:tcMar>
          </w:tcPr>
          <w:p>
            <w:r>
              <w:rPr>
                <w:b/>
                <w:bCs/>
                <w:color w:val="FFFFFF"/>
                <w:sz w:val="20"/>
                <w:szCs w:val="20"/>
              </w:rPr>
              <w:t xml:space="preserve">Products</w:t>
            </w:r>
          </w:p>
        </w:tc>
        <w:tc>
          <w:tcPr>
            <w:tcW w:type="dxa" w:w="5600"/>
            <w:tcMar>
              <w:top w:type="dxa" w:w="80"/>
              <w:left w:type="dxa" w:w="100"/>
              <w:bottom w:type="dxa" w:w="80"/>
              <w:right w:type="dxa" w:w="100"/>
            </w:tcMar>
          </w:tcPr>
          <w:p>
            <w:r>
              <w:rPr>
                <w:b w:val="false"/>
                <w:bCs w:val="false"/>
                <w:color w:val="000000"/>
                <w:sz w:val="20"/>
                <w:szCs w:val="20"/>
              </w:rPr>
              <w:t xml:space="preserve">Paseo, VTT, Velo, Amarilla, Montana, Carretera</w:t>
            </w:r>
          </w:p>
        </w:tc>
      </w:tr>
      <w:tr>
        <w:tc>
          <w:tcPr>
            <w:tcW w:type="dxa" w:w="3200"/>
            <w:shd w:fill="2F5597" w:val="clear"/>
            <w:tcMar>
              <w:top w:type="dxa" w:w="80"/>
              <w:left w:type="dxa" w:w="100"/>
              <w:bottom w:type="dxa" w:w="80"/>
              <w:right w:type="dxa" w:w="100"/>
            </w:tcMar>
          </w:tcPr>
          <w:p>
            <w:r>
              <w:rPr>
                <w:b/>
                <w:bCs/>
                <w:color w:val="FFFFFF"/>
                <w:sz w:val="20"/>
                <w:szCs w:val="20"/>
              </w:rPr>
              <w:t xml:space="preserve">Best model</w:t>
            </w:r>
          </w:p>
        </w:tc>
        <w:tc>
          <w:tcPr>
            <w:tcW w:type="dxa" w:w="5600"/>
            <w:tcMar>
              <w:top w:type="dxa" w:w="80"/>
              <w:left w:type="dxa" w:w="100"/>
              <w:bottom w:type="dxa" w:w="80"/>
              <w:right w:type="dxa" w:w="100"/>
            </w:tcMar>
          </w:tcPr>
          <w:p>
            <w:r>
              <w:rPr>
                <w:b w:val="false"/>
                <w:bCs w:val="false"/>
                <w:color w:val="000000"/>
                <w:sz w:val="20"/>
                <w:szCs w:val="20"/>
              </w:rPr>
              <w:t xml:space="preserve">Random Forest Regression — R² = 0.983</w:t>
            </w:r>
          </w:p>
        </w:tc>
      </w:tr>
    </w:tbl>
    <w:p>
      <w:pPr>
        <w:pStyle w:val="Heading1"/>
        <w:spacing w:after="150" w:before="300"/>
      </w:pPr>
      <w:r>
        <w:t xml:space="preserve">2. Exploratory Data Analysis — Key Findings</w:t>
      </w:r>
    </w:p>
    <w:p>
      <w:pPr>
        <w:pStyle w:val="Heading2"/>
        <w:spacing w:after="120" w:before="240"/>
      </w:pPr>
      <w:r>
        <w:t xml:space="preserve">Revenue by Segment</w:t>
      </w:r>
    </w:p>
    <w:p>
      <w:pPr>
        <w:spacing w:after="160"/>
      </w:pPr>
      <w:r>
        <w:t xml:space="preserve">Government ($52.5M) and Small Business ($42.4M) are the two largest revenue-generating segments, together accounting for well over half of total sales, despite Small Business having only a third of the record count of Government.</w:t>
      </w:r>
    </w:p>
    <w:p>
      <w:pPr>
        <w:pStyle w:val="Heading2"/>
        <w:spacing w:after="120" w:before="240"/>
      </w:pPr>
      <w:r>
        <w:t xml:space="preserve">Revenue by Country</w:t>
      </w:r>
    </w:p>
    <w:p>
      <w:pPr>
        <w:spacing w:after="160"/>
      </w:pPr>
      <w:r>
        <w:t xml:space="preserve">Sales are fairly evenly distributed across the five countries, ranging from $20.9M (Mexico) to $25.0M (United States), indicating a balanced international footprint with room to grow in Mexico specifically.</w:t>
      </w:r>
    </w:p>
    <w:p>
      <w:pPr>
        <w:pStyle w:val="Heading2"/>
        <w:spacing w:after="120" w:before="240"/>
      </w:pPr>
      <w:r>
        <w:t xml:space="preserve">Revenue by Product</w:t>
      </w:r>
    </w:p>
    <w:p>
      <w:pPr>
        <w:spacing w:after="160"/>
      </w:pPr>
      <w:r>
        <w:t xml:space="preserve">Paseo is the clear top performer at $33.0M, roughly 60% ahead of the second-place product (VTT, $20.5M). Carretera and Montana are the lowest-revenue products.</w:t>
      </w:r>
    </w:p>
    <w:p>
      <w:pPr>
        <w:pStyle w:val="Heading2"/>
        <w:spacing w:after="120" w:before="240"/>
      </w:pPr>
      <w:r>
        <w:t xml:space="preserve">Seasonality</w:t>
      </w:r>
    </w:p>
    <w:p>
      <w:pPr>
        <w:spacing w:after="160"/>
      </w:pPr>
      <w:r>
        <w:t xml:space="preserve">Monthly sales show a strong seasonal pattern: relatively flat from January through September, then a sharp rise into Q4, peaking in October ($21.7M) and December ($17.4M) — consistent with year-end purchasing or budget cycles.</w:t>
      </w:r>
    </w:p>
    <w:p>
      <w:pPr>
        <w:pStyle w:val="Heading2"/>
        <w:spacing w:after="120" w:before="240"/>
      </w:pPr>
      <w:r>
        <w:t xml:space="preserve">Discounting</w:t>
      </w:r>
    </w:p>
    <w:p>
      <w:pPr>
        <w:spacing w:after="160"/>
      </w:pPr>
      <w:r>
        <w:t xml:space="preserve">Deals with 'High' and 'Medium' discount bands account for the largest share of total sales, but 'Low'-discount deals have the highest average sale size, suggesting discounting is being used broadly rather than being reserved for the largest opportunities.</w:t>
      </w:r>
    </w:p>
    <w:p>
      <w:pPr>
        <w:pStyle w:val="Heading1"/>
        <w:spacing w:after="150" w:before="300"/>
      </w:pPr>
      <w:r>
        <w:t xml:space="preserve">3. Regression Model — Predicting Sales</w:t>
      </w:r>
    </w:p>
    <w:p>
      <w:pPr>
        <w:spacing w:after="160"/>
      </w:pPr>
      <w:r>
        <w:t xml:space="preserve">Two models were trained to predict Sales from Units Sold, Manufacturing Price, Sale Price, Discounts, Month, Segment, Country, Product, and Discount Band, using an 80/20 train-test split: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200"/>
      </w:tblGrid>
      <w:tr>
        <w:tc>
          <w:tcPr>
            <w:tcW w:type="dxa" w:w="2600"/>
            <w:shd w:fill="2F5597" w:val="clear"/>
            <w:tcMar>
              <w:top w:type="dxa" w:w="80"/>
              <w:left w:type="dxa" w:w="100"/>
              <w:bottom w:type="dxa" w:w="80"/>
              <w:right w:type="dxa" w:w="100"/>
            </w:tcMar>
          </w:tcPr>
          <w:p>
            <w:r>
              <w:rPr>
                <w:b/>
                <w:bCs/>
                <w:color w:val="FFFFFF"/>
                <w:sz w:val="20"/>
                <w:szCs w:val="20"/>
              </w:rPr>
              <w:t xml:space="preserve">Model</w:t>
            </w:r>
          </w:p>
        </w:tc>
        <w:tc>
          <w:tcPr>
            <w:tcW w:type="dxa" w:w="1800"/>
            <w:shd w:fill="2F5597" w:val="clear"/>
            <w:tcMar>
              <w:top w:type="dxa" w:w="80"/>
              <w:left w:type="dxa" w:w="100"/>
              <w:bottom w:type="dxa" w:w="80"/>
              <w:right w:type="dxa" w:w="100"/>
            </w:tcMar>
          </w:tcPr>
          <w:p>
            <w:r>
              <w:rPr>
                <w:b/>
                <w:bCs/>
                <w:color w:val="FFFFFF"/>
                <w:sz w:val="20"/>
                <w:szCs w:val="20"/>
              </w:rPr>
              <w:t xml:space="preserve">R²</w:t>
            </w:r>
          </w:p>
        </w:tc>
        <w:tc>
          <w:tcPr>
            <w:tcW w:type="dxa" w:w="2200"/>
            <w:shd w:fill="2F5597" w:val="clear"/>
            <w:tcMar>
              <w:top w:type="dxa" w:w="80"/>
              <w:left w:type="dxa" w:w="100"/>
              <w:bottom w:type="dxa" w:w="80"/>
              <w:right w:type="dxa" w:w="100"/>
            </w:tcMar>
          </w:tcPr>
          <w:p>
            <w:r>
              <w:rPr>
                <w:b/>
                <w:bCs/>
                <w:color w:val="FFFFFF"/>
                <w:sz w:val="20"/>
                <w:szCs w:val="20"/>
              </w:rPr>
              <w:t xml:space="preserve">MAE ($)</w:t>
            </w:r>
          </w:p>
        </w:tc>
        <w:tc>
          <w:tcPr>
            <w:tcW w:type="dxa" w:w="2200"/>
            <w:shd w:fill="2F5597" w:val="clear"/>
            <w:tcMar>
              <w:top w:type="dxa" w:w="80"/>
              <w:left w:type="dxa" w:w="100"/>
              <w:bottom w:type="dxa" w:w="80"/>
              <w:right w:type="dxa" w:w="100"/>
            </w:tcMar>
          </w:tcPr>
          <w:p>
            <w:r>
              <w:rPr>
                <w:b/>
                <w:bCs/>
                <w:color w:val="FFFFFF"/>
                <w:sz w:val="20"/>
                <w:szCs w:val="20"/>
              </w:rPr>
              <w:t xml:space="preserve">RMSE ($)</w:t>
            </w:r>
          </w:p>
        </w:tc>
      </w:tr>
      <w:tr>
        <w:tc>
          <w:tcPr>
            <w:tcW w:type="dxa" w:w="2600"/>
            <w:tcMar>
              <w:top w:type="dxa" w:w="80"/>
              <w:left w:type="dxa" w:w="100"/>
              <w:bottom w:type="dxa" w:w="80"/>
              <w:right w:type="dxa" w:w="100"/>
            </w:tcMar>
          </w:tcPr>
          <w:p>
            <w:r>
              <w:rPr>
                <w:b w:val="false"/>
                <w:bCs w:val="false"/>
                <w:color w:val="000000"/>
                <w:sz w:val="20"/>
                <w:szCs w:val="20"/>
              </w:rPr>
              <w:t xml:space="preserve">Linear Regression</w:t>
            </w:r>
          </w:p>
        </w:tc>
        <w:tc>
          <w:tcPr>
            <w:tcW w:type="dxa" w:w="1800"/>
            <w:tcMar>
              <w:top w:type="dxa" w:w="80"/>
              <w:left w:type="dxa" w:w="100"/>
              <w:bottom w:type="dxa" w:w="80"/>
              <w:right w:type="dxa" w:w="100"/>
            </w:tcMar>
          </w:tcPr>
          <w:p>
            <w:r>
              <w:rPr>
                <w:b w:val="false"/>
                <w:bCs w:val="false"/>
                <w:color w:val="000000"/>
                <w:sz w:val="20"/>
                <w:szCs w:val="20"/>
              </w:rPr>
              <w:t xml:space="preserve">0.782</w:t>
            </w:r>
          </w:p>
        </w:tc>
        <w:tc>
          <w:tcPr>
            <w:tcW w:type="dxa" w:w="2200"/>
            <w:tcMar>
              <w:top w:type="dxa" w:w="80"/>
              <w:left w:type="dxa" w:w="100"/>
              <w:bottom w:type="dxa" w:w="80"/>
              <w:right w:type="dxa" w:w="100"/>
            </w:tcMar>
          </w:tcPr>
          <w:p>
            <w:r>
              <w:rPr>
                <w:b w:val="false"/>
                <w:bCs w:val="false"/>
                <w:color w:val="000000"/>
                <w:sz w:val="20"/>
                <w:szCs w:val="20"/>
              </w:rPr>
              <w:t xml:space="preserve">78,326</w:t>
            </w:r>
          </w:p>
        </w:tc>
        <w:tc>
          <w:tcPr>
            <w:tcW w:type="dxa" w:w="2200"/>
            <w:tcMar>
              <w:top w:type="dxa" w:w="80"/>
              <w:left w:type="dxa" w:w="100"/>
              <w:bottom w:type="dxa" w:w="80"/>
              <w:right w:type="dxa" w:w="100"/>
            </w:tcMar>
          </w:tcPr>
          <w:p>
            <w:r>
              <w:rPr>
                <w:b w:val="false"/>
                <w:bCs w:val="false"/>
                <w:color w:val="000000"/>
                <w:sz w:val="20"/>
                <w:szCs w:val="20"/>
              </w:rPr>
              <w:t xml:space="preserve">109,945</w:t>
            </w:r>
          </w:p>
        </w:tc>
      </w:tr>
      <w:tr>
        <w:tc>
          <w:tcPr>
            <w:tcW w:type="dxa" w:w="2600"/>
            <w:tcMar>
              <w:top w:type="dxa" w:w="80"/>
              <w:left w:type="dxa" w:w="100"/>
              <w:bottom w:type="dxa" w:w="80"/>
              <w:right w:type="dxa" w:w="100"/>
            </w:tcMar>
          </w:tcPr>
          <w:p>
            <w:r>
              <w:rPr>
                <w:b w:val="false"/>
                <w:bCs w:val="false"/>
                <w:color w:val="000000"/>
                <w:sz w:val="20"/>
                <w:szCs w:val="20"/>
              </w:rPr>
              <w:t xml:space="preserve">Random Forest (300 trees)</w:t>
            </w:r>
          </w:p>
        </w:tc>
        <w:tc>
          <w:tcPr>
            <w:tcW w:type="dxa" w:w="1800"/>
            <w:tcMar>
              <w:top w:type="dxa" w:w="80"/>
              <w:left w:type="dxa" w:w="100"/>
              <w:bottom w:type="dxa" w:w="80"/>
              <w:right w:type="dxa" w:w="100"/>
            </w:tcMar>
          </w:tcPr>
          <w:p>
            <w:r>
              <w:rPr>
                <w:b w:val="false"/>
                <w:bCs w:val="false"/>
                <w:color w:val="000000"/>
                <w:sz w:val="20"/>
                <w:szCs w:val="20"/>
              </w:rPr>
              <w:t xml:space="preserve">0.983</w:t>
            </w:r>
          </w:p>
        </w:tc>
        <w:tc>
          <w:tcPr>
            <w:tcW w:type="dxa" w:w="2200"/>
            <w:tcMar>
              <w:top w:type="dxa" w:w="80"/>
              <w:left w:type="dxa" w:w="100"/>
              <w:bottom w:type="dxa" w:w="80"/>
              <w:right w:type="dxa" w:w="100"/>
            </w:tcMar>
          </w:tcPr>
          <w:p>
            <w:r>
              <w:rPr>
                <w:b w:val="false"/>
                <w:bCs w:val="false"/>
                <w:color w:val="000000"/>
                <w:sz w:val="20"/>
                <w:szCs w:val="20"/>
              </w:rPr>
              <w:t xml:space="preserve">11,031</w:t>
            </w:r>
          </w:p>
        </w:tc>
        <w:tc>
          <w:tcPr>
            <w:tcW w:type="dxa" w:w="2200"/>
            <w:tcMar>
              <w:top w:type="dxa" w:w="80"/>
              <w:left w:type="dxa" w:w="100"/>
              <w:bottom w:type="dxa" w:w="80"/>
              <w:right w:type="dxa" w:w="100"/>
            </w:tcMar>
          </w:tcPr>
          <w:p>
            <w:r>
              <w:rPr>
                <w:b w:val="false"/>
                <w:bCs w:val="false"/>
                <w:color w:val="000000"/>
                <w:sz w:val="20"/>
                <w:szCs w:val="20"/>
              </w:rPr>
              <w:t xml:space="preserve">30,333</w:t>
            </w:r>
          </w:p>
        </w:tc>
      </w:tr>
    </w:tbl>
    <w:p>
      <w:pPr>
        <w:spacing w:after="160"/>
      </w:pPr>
    </w:p>
    <w:p>
      <w:pPr>
        <w:spacing w:after="160"/>
      </w:pPr>
      <w:r>
        <w:t xml:space="preserve">The Random Forest model substantially outperforms plain Linear Regression, confirming that Sales depends on non-linear interactions between variables (for example, the combined effect of Units Sold and Sale Price). Feature-importance analysis shows Units Sold, Sale Price, and Discounts are the strongest predictors, with Segment and Product contributing secondary explanatory power.</w:t>
      </w:r>
    </w:p>
    <w:p>
      <w:pPr>
        <w:pStyle w:val="Heading1"/>
        <w:spacing w:after="150" w:before="300"/>
      </w:pPr>
      <w:r>
        <w:t xml:space="preserve">4. Dashboard</w:t>
      </w:r>
    </w:p>
    <w:p>
      <w:pPr>
        <w:spacing w:after="160"/>
      </w:pPr>
      <w:r>
        <w:t xml:space="preserve">An interactive Excel dashboard (Sales_Dashboard.xlsx) accompanies this report, with:</w:t>
      </w:r>
    </w:p>
    <w:p>
      <w:pPr>
        <w:pStyle w:val="ListParagraph"/>
        <w:numPr>
          <w:ilvl w:val="0"/>
          <w:numId w:val="1"/>
        </w:numPr>
        <w:spacing w:after="80"/>
      </w:pPr>
      <w:r>
        <w:t xml:space="preserve">A Dashboard sheet with charts for Sales by Segment, Country, Product, Monthly Trend, and Discount Band mix</w:t>
      </w:r>
    </w:p>
    <w:p>
      <w:pPr>
        <w:pStyle w:val="ListParagraph"/>
        <w:numPr>
          <w:ilvl w:val="0"/>
          <w:numId w:val="1"/>
        </w:numPr>
        <w:spacing w:after="80"/>
      </w:pPr>
      <w:r>
        <w:t xml:space="preserve">A Model Insights sheet summarizing regression performance</w:t>
      </w:r>
    </w:p>
    <w:p>
      <w:pPr>
        <w:pStyle w:val="ListParagraph"/>
        <w:numPr>
          <w:ilvl w:val="0"/>
          <w:numId w:val="1"/>
        </w:numPr>
        <w:spacing w:after="80"/>
      </w:pPr>
      <w:r>
        <w:t xml:space="preserve">A Raw Data sheet with the full, cleaned dataset</w:t>
      </w:r>
    </w:p>
    <w:p>
      <w:pPr>
        <w:spacing w:after="160"/>
      </w:pPr>
      <w:r>
        <w:rPr>
          <w:i/>
          <w:iCs/>
          <w:color w:val="595959"/>
          <w:sz w:val="20"/>
          <w:szCs w:val="20"/>
        </w:rPr>
        <w:t xml:space="preserve">Note: this deliverable was produced as an Excel dashboard rather than a native Power BI (.pbix) file, since Power BI Desktop is not available in this environment. The same pivot tables and chart definitions in the workbook can be recreated in Power BI or Tableau by pointing them at the Raw Data sheet.</w:t>
      </w:r>
    </w:p>
    <w:p>
      <w:pPr>
        <w:pStyle w:val="Heading1"/>
        <w:spacing w:after="150" w:before="300"/>
      </w:pPr>
      <w:r>
        <w:t xml:space="preserve">5. Recommendations</w:t>
      </w:r>
    </w:p>
    <w:p>
      <w:pPr>
        <w:pStyle w:val="ListParagraph"/>
        <w:numPr>
          <w:ilvl w:val="0"/>
          <w:numId w:val="1"/>
        </w:numPr>
        <w:spacing w:after="80"/>
      </w:pPr>
      <w:r>
        <w:t xml:space="preserve">Prioritize account management and retention efforts on the Government and Small Business segments, which generate the highest returns.</w:t>
      </w:r>
    </w:p>
    <w:p>
      <w:pPr>
        <w:pStyle w:val="ListParagraph"/>
        <w:numPr>
          <w:ilvl w:val="0"/>
          <w:numId w:val="1"/>
        </w:numPr>
        <w:spacing w:after="80"/>
      </w:pPr>
      <w:r>
        <w:t xml:space="preserve">Plan inventory, staffing, and cash flow for the Q4 seasonal peak (October–December), when demand is 2–3x the monthly average.</w:t>
      </w:r>
    </w:p>
    <w:p>
      <w:pPr>
        <w:pStyle w:val="ListParagraph"/>
        <w:numPr>
          <w:ilvl w:val="0"/>
          <w:numId w:val="1"/>
        </w:numPr>
        <w:spacing w:after="80"/>
      </w:pPr>
      <w:r>
        <w:t xml:space="preserve">Review the discount policy for the 'High' band — assess whether the volume gained offsets the margin given up, since 'Low'-discount deals carry the largest average order size.</w:t>
      </w:r>
    </w:p>
    <w:p>
      <w:pPr>
        <w:pStyle w:val="ListParagraph"/>
        <w:numPr>
          <w:ilvl w:val="0"/>
          <w:numId w:val="1"/>
        </w:numPr>
        <w:spacing w:after="80"/>
      </w:pPr>
      <w:r>
        <w:t xml:space="preserve">Use the Random Forest model as a forecasting tool for budgeting and demand planning, retraining it as new quarters of data become available.</w:t>
      </w:r>
    </w:p>
    <w:p>
      <w:pPr>
        <w:pStyle w:val="ListParagraph"/>
        <w:numPr>
          <w:ilvl w:val="0"/>
          <w:numId w:val="1"/>
        </w:numPr>
        <w:spacing w:after="80"/>
      </w:pPr>
      <w:r>
        <w:t xml:space="preserve">Investigate under-performing markets (Mexico) and products (Carretera, Montana) for targeted marketing or pricing adjustments, using Paseo's success in other regions as a benchmark.</w:t>
      </w:r>
    </w:p>
    <w:p>
      <w:pPr>
        <w:pStyle w:val="Heading1"/>
        <w:spacing w:after="150" w:before="300"/>
      </w:pPr>
      <w:r>
        <w:t xml:space="preserve">6. Deliverables</w:t>
      </w:r>
    </w:p>
    <w:p>
      <w:pPr>
        <w:pStyle w:val="ListParagraph"/>
        <w:numPr>
          <w:ilvl w:val="0"/>
          <w:numId w:val="1"/>
        </w:numPr>
        <w:spacing w:after="80"/>
      </w:pPr>
      <w:r>
        <w:t xml:space="preserve">Excel: Sales_Dashboard.xlsx — cleaned data, dashboard, and model insights</w:t>
      </w:r>
    </w:p>
    <w:p>
      <w:pPr>
        <w:pStyle w:val="ListParagraph"/>
        <w:numPr>
          <w:ilvl w:val="0"/>
          <w:numId w:val="1"/>
        </w:numPr>
        <w:spacing w:after="80"/>
      </w:pPr>
      <w:r>
        <w:t xml:space="preserve">Python notebook: Capstone_Sales_Analysis.ipynb — full EDA and regression code with outputs</w:t>
      </w:r>
    </w:p>
    <w:p>
      <w:pPr>
        <w:pStyle w:val="ListParagraph"/>
        <w:numPr>
          <w:ilvl w:val="0"/>
          <w:numId w:val="1"/>
        </w:numPr>
        <w:spacing w:after="80"/>
      </w:pPr>
      <w:r>
        <w:t xml:space="preserve">This report: findings and recommendations summary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2026-07-07T13:04:06.211Z</dcterms:created>
  <dcterms:modified xsi:type="dcterms:W3CDTF">2026-07-07T13:04:06.211Z</dcterms:modified>
</cp:coreProperties>
</file>

<file path=docProps/custom.xml><?xml version="1.0" encoding="utf-8"?>
<Properties xmlns="http://schemas.openxmlformats.org/officeDocument/2006/custom-properties" xmlns:vt="http://schemas.openxmlformats.org/officeDocument/2006/docPropsVTypes"/>
</file>