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br w:type="page"/>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Data security is a critical priority for XYZ Corporation. All employees must follow proper data handling procedures.</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br w:type="page"/>
      </w:r>
    </w:p>
    <w:p>
      <w:r>
        <w:drawing>
          <wp:inline xmlns:a="http://schemas.openxmlformats.org/drawingml/2006/main" xmlns:pic="http://schemas.openxmlformats.org/drawingml/2006/picture">
            <wp:extent cx="5" cy="3"/>
            <wp:docPr id="1" name="Picture 1"/>
            <wp:cNvGraphicFramePr>
              <a:graphicFrameLocks noChangeAspect="1"/>
            </wp:cNvGraphicFramePr>
            <a:graphic>
              <a:graphicData uri="http://schemas.openxmlformats.org/drawingml/2006/picture">
                <pic:pic>
                  <pic:nvPicPr>
                    <pic:cNvPr id="0" name="task_usage_cdf.png"/>
                    <pic:cNvPicPr/>
                  </pic:nvPicPr>
                  <pic:blipFill>
                    <a:blip r:embed="rId9"/>
                    <a:stretch>
                      <a:fillRect/>
                    </a:stretch>
                  </pic:blipFill>
                  <pic:spPr>
                    <a:xfrm>
                      <a:off x="0" y="0"/>
                      <a:ext cx="5" cy="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