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XYZ Corporation Company Policy</w:t>
      </w:r>
    </w:p>
    <w:p>
      <w:r>
        <w:t>Welcome to XYZ Corporation. This document outlines our company policies and procedures.</w:t>
      </w:r>
    </w:p>
    <w:p>
      <w:pPr>
        <w:pStyle w:val="Heading2"/>
      </w:pPr>
      <w:r>
        <w:t>Section 1: General Guidelines</w:t>
      </w:r>
    </w:p>
    <w:p>
      <w:r>
        <w:t>XYZ Corporation is committed to maintaining high standards of conduct and professionalism.</w:t>
      </w:r>
    </w:p>
    <w:p>
      <w:pPr>
        <w:pStyle w:val="Heading2"/>
      </w:pPr>
      <w:r>
        <w:t>Section 2: Employee Conduct</w:t>
      </w:r>
    </w:p>
    <w:p>
      <w:r>
        <w:t>All employees of XYZ Corporation must adhere to the highest ethical standards.</w:t>
      </w:r>
    </w:p>
    <w:p>
      <w:pPr>
        <w:pStyle w:val="Heading2"/>
      </w:pPr>
      <w:r>
        <w:t>Section 3: Data Security</w:t>
      </w:r>
    </w:p>
    <w:p>
      <w:r>
        <w:t>Data security is a critical priority for XYZ Corporation. All employees must follow proper data handling procedures.</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br w:type="page"/>
      </w:r>
    </w:p>
    <w:p>
      <w:r>
        <w:t>Document Version: Research Publication Workflow - Enhanced Format</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rPr>
          <w:rFonts w:ascii="Times New Roman" w:hAnsi="Times New Roman"/>
          <w:b/>
          <w:i w:val="0"/>
          <w:color w:val="000000"/>
          <w:sz w:val="24"/>
          <w:u w:val="none"/>
        </w:rPr>
        <w:t>Section 3: Data Security</w:t>
      </w:r>
    </w:p>
    <w:p>
      <w:r>
        <w:rPr>
          <w:rFonts w:ascii="Times New Roman" w:hAnsi="Times New Roman"/>
          <w:b/>
          <w:i w:val="0"/>
          <w:color w:val="000000"/>
          <w:sz w:val="24"/>
          <w:u w:val="none"/>
        </w:rPr>
        <w:t>Data security is a critical priority for XYZ Corporation. All employees must follow proper data handling procedures.</w:t>
      </w:r>
    </w:p>
    <w:p>
      <w:r>
        <w:br w:type="page"/>
      </w:r>
    </w:p>
    <w:p>
      <w:pPr>
        <w:pStyle w:val="Heading1"/>
      </w:pPr>
      <w:r>
        <w:t>Research Publication Metrics Summary</w:t>
      </w:r>
    </w:p>
    <w:p>
      <w:r>
        <w:t>Citation Network Analysis: Our research network includes 3 primary researchers with strong collaboration patterns. The network shows high influence scores across medicine, physics, and chemistry fields with 823 total citations and an h-index of 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