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br w:type="page"/>
      </w:r>
    </w:p>
    <w:p>
      <w:r>
        <w:t>Document Version: Research Publication Workflow - Enhanced Format</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Policies: XYZ Corporation is committed to protecting your personal information and has updated its data privacy policies to comply with the latest regulatory requirements. We have implemented enhanced security measures, improved data retention practices, and strengthened user consent mechanisms to ensure your data remains secure and protected at all times.</w:t>
      </w:r>
    </w:p>
    <w:p>
      <w:r>
        <w:rPr>
          <w:rFonts w:ascii="Times New Roman" w:hAnsi="Times New Roman"/>
          <w:b/>
          <w:i w:val="0"/>
          <w:color w:val="000000"/>
          <w:sz w:val="24"/>
          <w:u w:val="none"/>
        </w:rPr>
        <w:t>Data security is a critical priority for XYZ Corporation. All employees must follow proper data handling procedures.</w:t>
      </w:r>
    </w:p>
    <w:p>
      <w:r>
        <w:t>Updated Data Privacy Policies: XYZ Corporation is committed to protecting your personal information and has updated its data privacy policies to comply with the latest regulatory requirements. We have implemented enhanced security measures, improved data retention practices, and strengthened user consent mechanisms to ensure your data remains secure and protected at all times.</w:t>
      </w:r>
    </w:p>
    <w:p>
      <w:r>
        <w:rPr>
          <w:rFonts w:ascii="Times New Roman" w:hAnsi="Times New Roman"/>
          <w:b/>
          <w:i w:val="0"/>
          <w:color w:val="000000"/>
          <w:sz w:val="24"/>
          <w:u w:val="none"/>
        </w:rPr>
        <w:t>Section 3: Data Security</w:t>
      </w:r>
    </w:p>
    <w:p>
      <w:pPr>
        <w:pStyle w:val="Heading1"/>
      </w:pPr>
      <w:r>
        <w:t>Research Publication Workflow Guidelines</w:t>
      </w:r>
    </w:p>
    <w:p>
      <w:r>
        <w:br w:type="page"/>
      </w:r>
    </w:p>
    <w:p>
      <w:r>
        <w:t>This section outlines the standardized workflow for research publication management, including document version control, citation tracking, and publication metrics analysis.</w:t>
      </w:r>
    </w:p>
    <w:p>
      <w:pPr>
        <w:pStyle w:val="Heading2"/>
      </w:pPr>
      <w:r>
        <w:t>Research Metrics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Publications</w:t>
            </w:r>
          </w:p>
        </w:tc>
        <w:tc>
          <w:tcPr>
            <w:tcW w:type="dxa" w:w="4320"/>
          </w:tcPr>
          <w:p>
            <w:r>
              <w:t>144</w:t>
            </w:r>
          </w:p>
        </w:tc>
      </w:tr>
      <w:tr>
        <w:tc>
          <w:tcPr>
            <w:tcW w:type="dxa" w:w="4320"/>
          </w:tcPr>
          <w:p>
            <w:r>
              <w:t>H-Index</w:t>
            </w:r>
          </w:p>
        </w:tc>
        <w:tc>
          <w:tcPr>
            <w:tcW w:type="dxa" w:w="4320"/>
          </w:tcPr>
          <w:p>
            <w:r>
              <w:t>65</w:t>
            </w:r>
          </w:p>
        </w:tc>
      </w:tr>
      <w:tr>
        <w:tc>
          <w:tcPr>
            <w:tcW w:type="dxa" w:w="4320"/>
          </w:tcPr>
          <w:p>
            <w:r>
              <w:t>Citation Network Density</w:t>
            </w:r>
          </w:p>
        </w:tc>
        <w:tc>
          <w:tcPr>
            <w:tcW w:type="dxa" w:w="4320"/>
          </w:tcPr>
          <w:p>
            <w:r>
              <w:t>0.667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