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br w:type="page"/>
      </w:r>
    </w:p>
    <w:p>
      <w:pPr>
        <w:pStyle w:val="Heading1"/>
      </w:pPr>
      <w:r>
        <w:t>Research Publication Workflow</w:t>
      </w:r>
    </w:p>
    <w:p>
      <w:r>
        <w:t>This section outlines our streamlined research publication workflow including document management, citation analysis, and impact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Research Analytics Summary</w:t>
            </w:r>
          </w:p>
        </w:tc>
        <w:tc>
          <w:tcPr>
            <w:tcW w:type="dxa" w:w="2880"/>
          </w:tcPr>
          <w:p>
            <w:r>
              <w:t>Current Value</w:t>
            </w:r>
          </w:p>
        </w:tc>
        <w:tc>
          <w:tcPr>
            <w:tcW w:type="dxa" w:w="2880"/>
          </w:tcPr>
          <w:p>
            <w:r>
              <w:t>Projected Value</w:t>
            </w:r>
          </w:p>
        </w:tc>
      </w:tr>
      <w:tr>
        <w:tc>
          <w:tcPr>
            <w:tcW w:type="dxa" w:w="2880"/>
          </w:tcPr>
          <w:p>
            <w:r>
              <w:t>Total Citations</w:t>
            </w:r>
          </w:p>
        </w:tc>
        <w:tc>
          <w:tcPr>
            <w:tcW w:type="dxa" w:w="2880"/>
          </w:tcPr>
          <w:p>
            <w:r>
              <w:t>437</w:t>
            </w:r>
          </w:p>
        </w:tc>
        <w:tc>
          <w:tcPr>
            <w:tcW w:type="dxa" w:w="2880"/>
          </w:tcPr>
          <w:p>
            <w:r>
              <w:t>279 (1-year)</w:t>
            </w:r>
          </w:p>
        </w:tc>
      </w:tr>
      <w:tr>
        <w:tc>
          <w:tcPr>
            <w:tcW w:type="dxa" w:w="2880"/>
          </w:tcPr>
          <w:p>
            <w:r>
              <w:t>H-Index</w:t>
            </w:r>
          </w:p>
        </w:tc>
        <w:tc>
          <w:tcPr>
            <w:tcW w:type="dxa" w:w="2880"/>
          </w:tcPr>
          <w:p>
            <w:r>
              <w:t>16</w:t>
            </w:r>
          </w:p>
        </w:tc>
        <w:tc>
          <w:tcPr>
            <w:tcW w:type="dxa" w:w="2880"/>
          </w:tcPr>
          <w:p>
            <w:r>
              <w:t>18-20 (projected)</w:t>
            </w:r>
          </w:p>
        </w:tc>
      </w:tr>
      <w:tr>
        <w:tc>
          <w:tcPr>
            <w:tcW w:type="dxa" w:w="2880"/>
          </w:tcPr>
          <w:p>
            <w:r>
              <w:t>Network Collaboration Density</w:t>
            </w:r>
          </w:p>
        </w:tc>
        <w:tc>
          <w:tcPr>
            <w:tcW w:type="dxa" w:w="2880"/>
          </w:tcPr>
          <w:p>
            <w:r>
              <w:t>0.333</w:t>
            </w:r>
          </w:p>
        </w:tc>
        <w:tc>
          <w:tcPr>
            <w:tcW w:type="dxa" w:w="2880"/>
          </w:tcPr>
          <w:p>
            <w:r>
              <w:t>0.45-0.55 (target)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