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implemented enhanced data protection measures in compliance with current privacy regulations. All employee data, customer information, and proprietary business data must be handled according to the new data classification standards. Regular privacy impact assessments will be conducted quarterly, and all staff must complete updated data privacy training within 30 days of policy implementation.</w:t>
      </w:r>
    </w:p>
    <w:p>
      <w:r>
        <w:rPr>
          <w:rFonts w:ascii="Times New Roman" w:hAnsi="Times New Roman"/>
          <w:b/>
          <w:i w:val="0"/>
          <w:color w:val="000000"/>
          <w:sz w:val="24"/>
          <w:u w:val="none"/>
        </w:rPr>
        <w:t>Section 3: Data Security</w:t>
      </w:r>
    </w:p>
    <w:p>
      <w:r>
        <w:t>Updated Data Privacy Policies: XYZ Corporation is committed to protecting personal data in accordance with the latest privacy regulations. All employee data will be processed lawfully, transparently, and for legitimate business purposes only. We have implemented enhanced security measures including encryption, access controls, and regular privacy impact assessments to ensure compliance with applicable data protection laws.</w:t>
      </w:r>
    </w:p>
    <w:p>
      <w:r>
        <w:rPr>
          <w:rFonts w:ascii="Times New Roman" w:hAnsi="Times New Roman"/>
          <w:b/>
          <w:i w:val="0"/>
          <w:color w:val="000000"/>
          <w:sz w:val="24"/>
          <w:u w:val="none"/>
        </w:rPr>
        <w:t>Section 3: Data Security</w:t>
      </w:r>
    </w:p>
    <w:p>
      <w:r>
        <w:t>Updated Data Privacy Policies: XYZ Corporation is committed to protecting personal data and ensuring compliance with all applicable data protection regulations. Our updated privacy framework includes enhanced data encryption, stricter access controls, regular security audits, and comprehensive employee training on data handling procedures. All employees must adhere to these updated policies to maintain the highest standards of data protection and privacy.</w:t>
      </w:r>
    </w:p>
    <w:p>
      <w:r>
        <w:rPr>
          <w:rFonts w:ascii="Times New Roman" w:hAnsi="Times New Roman"/>
          <w:b/>
          <w:i w:val="0"/>
          <w:color w:val="000000"/>
          <w:sz w:val="24"/>
          <w:u w:val="none"/>
        </w:rPr>
        <w:t>Data security is a critical priority for XYZ Corporation. All employees must follow proper data handling procedures.</w:t>
      </w:r>
    </w:p>
    <w:p>
      <w:r>
        <w:br w:type="page"/>
      </w:r>
    </w:p>
    <w:p>
      <w:pPr>
        <w:pStyle w:val="Heading1"/>
      </w:pPr>
      <w:r>
        <w:t>Research Publication Workflow Enhancement</w:t>
      </w:r>
    </w:p>
    <w:p>
      <w:r>
        <w:t>This document has been enhanced with improved formatting for better readability and professional presentation of research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