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implemented enhanced data protection measures in compliance with current privacy regulations. All employee data, customer information, and proprietary business data must be handled according to the new data classification standards. Regular privacy impact assessments will be conducted quarterly, and all staff must complete updated data privacy training within 30 days of policy implementation.</w:t>
      </w:r>
    </w:p>
    <w:p>
      <w:r>
        <w:rPr>
          <w:rFonts w:ascii="Times New Roman" w:hAnsi="Times New Roman"/>
          <w:b/>
          <w:i w:val="0"/>
          <w:color w:val="000000"/>
          <w:sz w:val="24"/>
          <w:u w:val="none"/>
        </w:rPr>
        <w:t>Section 3: Data Security</w:t>
      </w:r>
    </w:p>
    <w:p>
      <w:r>
        <w:br w:type="page"/>
      </w:r>
    </w:p>
    <w:p>
      <w:pPr>
        <w:pStyle w:val="Heading1"/>
      </w:pPr>
      <w:r>
        <w:t>Research Publication Metrics Analysis</w:t>
      </w:r>
    </w:p>
    <w:p>
      <w:r>
        <w:t>This section contains analysis of our research publication impact metrics and citation networks.</w:t>
      </w:r>
    </w:p>
    <w:p>
      <w:pPr>
        <w:pStyle w:val="Heading2"/>
      </w:pPr>
      <w:r>
        <w:t>Citation Network Analysis Results</w:t>
      </w:r>
    </w:p>
    <w:p>
      <w:r>
        <w:t>Network Analysis Summary: The citation network analysis reveals a 4-node research network with collaboration density of 0.167. Key findings include Dr. Johnson with highest centrality score (0.624), indicating strong collaborative influence, and Dr. Williams leading in total citations (4,283) and h-index (39). The network shows strong clustering in biology and engineering fields with modularity score of 0.21.</w:t>
      </w:r>
    </w:p>
    <w:p>
      <w:pPr>
        <w:pStyle w:val="Heading2"/>
      </w:pPr>
      <w:r>
        <w:t>Publication Metrics Analysis</w:t>
      </w:r>
    </w:p>
    <w:p>
      <w:r>
        <w:t>Impact Metrics: Our research portfolio demonstrates strong performance with 136 total publications generating 3,422 citations, yielding an impressive h-index of 45. The average citations per paper (19.1) exceeds field standards, while maintaining a healthy 40% international collaboration rate and 33% open access percentage.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Publications</w:t>
            </w:r>
          </w:p>
        </w:tc>
        <w:tc>
          <w:tcPr>
            <w:tcW w:type="dxa" w:w="4320"/>
          </w:tcPr>
          <w:p>
            <w:r>
              <w:t>136</w:t>
            </w:r>
          </w:p>
        </w:tc>
      </w:tr>
      <w:tr>
        <w:tc>
          <w:tcPr>
            <w:tcW w:type="dxa" w:w="4320"/>
          </w:tcPr>
          <w:p>
            <w:r>
              <w:t>Total Citations</w:t>
            </w:r>
          </w:p>
        </w:tc>
        <w:tc>
          <w:tcPr>
            <w:tcW w:type="dxa" w:w="4320"/>
          </w:tcPr>
          <w:p>
            <w:r>
              <w:t>3,422</w:t>
            </w:r>
          </w:p>
        </w:tc>
      </w:tr>
      <w:tr>
        <w:tc>
          <w:tcPr>
            <w:tcW w:type="dxa" w:w="4320"/>
          </w:tcPr>
          <w:p>
            <w:r>
              <w:t>H-Index</w:t>
            </w:r>
          </w:p>
        </w:tc>
        <w:tc>
          <w:tcPr>
            <w:tcW w:type="dxa" w:w="4320"/>
          </w:tcPr>
          <w:p>
            <w:r>
              <w:t>45</w:t>
            </w:r>
          </w:p>
        </w:tc>
      </w:tr>
      <w:tr>
        <w:tc>
          <w:tcPr>
            <w:tcW w:type="dxa" w:w="4320"/>
          </w:tcPr>
          <w:p>
            <w:r>
              <w:t>International Collaboration Rate</w:t>
            </w:r>
          </w:p>
        </w:tc>
        <w:tc>
          <w:tcPr>
            <w:tcW w:type="dxa" w:w="432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